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6E" w:rsidRPr="001A47CA" w:rsidRDefault="00EE7E6E" w:rsidP="00316DDC">
      <w:pPr>
        <w:pStyle w:val="Sansinterligne"/>
        <w:rPr>
          <w:lang w:val="en-US" w:eastAsia="fr-FR"/>
        </w:rPr>
      </w:pPr>
      <w:r w:rsidRPr="00316DDC">
        <w:rPr>
          <w:b/>
          <w:lang w:val="en-US" w:eastAsia="fr-FR"/>
        </w:rPr>
        <w:t>Title</w:t>
      </w:r>
      <w:r w:rsidR="00316DDC">
        <w:rPr>
          <w:b/>
          <w:lang w:val="en-US" w:eastAsia="fr-FR"/>
        </w:rPr>
        <w:t xml:space="preserve">:  </w:t>
      </w:r>
      <w:r w:rsidR="00753F40" w:rsidRPr="00753F40">
        <w:rPr>
          <w:lang w:val="en-US" w:eastAsia="fr-FR"/>
        </w:rPr>
        <w:t>A dynamic collimation system</w:t>
      </w:r>
      <w:r w:rsidR="00753F40">
        <w:rPr>
          <w:lang w:val="en-US" w:eastAsia="fr-FR"/>
        </w:rPr>
        <w:t xml:space="preserve"> im</w:t>
      </w:r>
      <w:r w:rsidR="001A47CA" w:rsidRPr="001A47CA">
        <w:rPr>
          <w:lang w:val="en-US" w:eastAsia="fr-FR"/>
        </w:rPr>
        <w:t>prov</w:t>
      </w:r>
      <w:r w:rsidR="00753F40">
        <w:rPr>
          <w:lang w:val="en-US" w:eastAsia="fr-FR"/>
        </w:rPr>
        <w:t>ing</w:t>
      </w:r>
      <w:r w:rsidR="001A47CA" w:rsidRPr="001A47CA">
        <w:rPr>
          <w:lang w:val="en-US" w:eastAsia="fr-FR"/>
        </w:rPr>
        <w:t xml:space="preserve"> target conformity </w:t>
      </w:r>
      <w:r w:rsidR="00744199">
        <w:rPr>
          <w:lang w:val="en-US" w:eastAsia="fr-FR"/>
        </w:rPr>
        <w:t>of spot scanning proton therapy</w:t>
      </w:r>
      <w:r w:rsidR="00753F40">
        <w:rPr>
          <w:lang w:val="en-US" w:eastAsia="fr-FR"/>
        </w:rPr>
        <w:t xml:space="preserve">: </w:t>
      </w:r>
      <w:r w:rsidR="00311D61">
        <w:rPr>
          <w:lang w:val="en-US" w:eastAsia="fr-FR"/>
        </w:rPr>
        <w:t xml:space="preserve"> </w:t>
      </w:r>
      <w:r w:rsidR="00753F40">
        <w:rPr>
          <w:lang w:val="en-US" w:eastAsia="fr-FR"/>
        </w:rPr>
        <w:t xml:space="preserve">comparison </w:t>
      </w:r>
      <w:r w:rsidR="00311D61">
        <w:rPr>
          <w:lang w:val="en-US" w:eastAsia="fr-FR"/>
        </w:rPr>
        <w:t xml:space="preserve">of dose calculations </w:t>
      </w:r>
      <w:r w:rsidR="00753F40">
        <w:rPr>
          <w:lang w:val="en-US" w:eastAsia="fr-FR"/>
        </w:rPr>
        <w:t>for two nozzles.</w:t>
      </w:r>
    </w:p>
    <w:p w:rsidR="00316DDC" w:rsidRPr="00316DDC" w:rsidRDefault="00316DDC" w:rsidP="00316DDC">
      <w:pPr>
        <w:pStyle w:val="Sansinterligne"/>
        <w:rPr>
          <w:b/>
          <w:lang w:val="en-US" w:eastAsia="fr-FR"/>
        </w:rPr>
      </w:pPr>
    </w:p>
    <w:p w:rsidR="00EE7E6E" w:rsidRPr="00316DDC" w:rsidRDefault="00EE7E6E" w:rsidP="00316DDC">
      <w:pPr>
        <w:pStyle w:val="Sansinterligne"/>
        <w:rPr>
          <w:b/>
          <w:lang w:val="en-US" w:eastAsia="fr-FR"/>
        </w:rPr>
      </w:pPr>
      <w:r w:rsidRPr="00316DDC">
        <w:rPr>
          <w:b/>
          <w:lang w:val="en-US" w:eastAsia="fr-FR"/>
        </w:rPr>
        <w:t>Authors</w:t>
      </w:r>
      <w:r w:rsidR="00316DDC">
        <w:rPr>
          <w:b/>
          <w:lang w:val="en-US" w:eastAsia="fr-FR"/>
        </w:rPr>
        <w:t>:</w:t>
      </w:r>
    </w:p>
    <w:p w:rsidR="00EE7E6E" w:rsidRPr="001A47CA" w:rsidRDefault="00EE7E6E" w:rsidP="00B20D60">
      <w:pPr>
        <w:pStyle w:val="Sansinterligne"/>
        <w:rPr>
          <w:lang w:val="en-US" w:eastAsia="fr-FR"/>
        </w:rPr>
      </w:pPr>
      <w:r w:rsidRPr="001A47CA">
        <w:rPr>
          <w:lang w:val="en-US" w:eastAsia="fr-FR"/>
        </w:rPr>
        <w:t xml:space="preserve">A. </w:t>
      </w:r>
      <w:r w:rsidR="001A47CA" w:rsidRPr="001A47CA">
        <w:rPr>
          <w:lang w:val="en-US" w:eastAsia="fr-FR"/>
        </w:rPr>
        <w:t>Moignier</w:t>
      </w:r>
      <w:r w:rsidRPr="001A47CA">
        <w:rPr>
          <w:lang w:val="en-US" w:eastAsia="fr-FR"/>
        </w:rPr>
        <w:t xml:space="preserve"> (1), </w:t>
      </w:r>
      <w:r w:rsidR="001A47CA" w:rsidRPr="001A47CA">
        <w:rPr>
          <w:lang w:val="en-US" w:eastAsia="fr-FR"/>
        </w:rPr>
        <w:t>E</w:t>
      </w:r>
      <w:r w:rsidRPr="001A47CA">
        <w:rPr>
          <w:lang w:val="en-US" w:eastAsia="fr-FR"/>
        </w:rPr>
        <w:t xml:space="preserve">. </w:t>
      </w:r>
      <w:proofErr w:type="spellStart"/>
      <w:r w:rsidR="001A47CA" w:rsidRPr="001A47CA">
        <w:rPr>
          <w:lang w:val="en-US" w:eastAsia="fr-FR"/>
        </w:rPr>
        <w:t>Gelover</w:t>
      </w:r>
      <w:proofErr w:type="spellEnd"/>
      <w:r w:rsidRPr="001A47CA">
        <w:rPr>
          <w:lang w:val="en-US" w:eastAsia="fr-FR"/>
        </w:rPr>
        <w:t xml:space="preserve"> (</w:t>
      </w:r>
      <w:r w:rsidR="001A47CA">
        <w:rPr>
          <w:lang w:val="en-US" w:eastAsia="fr-FR"/>
        </w:rPr>
        <w:t>1</w:t>
      </w:r>
      <w:r w:rsidRPr="001A47CA">
        <w:rPr>
          <w:lang w:val="en-US" w:eastAsia="fr-FR"/>
        </w:rPr>
        <w:t>),</w:t>
      </w:r>
      <w:r w:rsidR="001A47CA" w:rsidRPr="001A47CA">
        <w:rPr>
          <w:lang w:val="en-US" w:eastAsia="fr-FR"/>
        </w:rPr>
        <w:t xml:space="preserve"> B.R. Smith</w:t>
      </w:r>
      <w:r w:rsidR="001A47CA">
        <w:rPr>
          <w:lang w:val="en-US" w:eastAsia="fr-FR"/>
        </w:rPr>
        <w:t xml:space="preserve"> (1), </w:t>
      </w:r>
      <w:r w:rsidR="00617595" w:rsidRPr="001A47CA">
        <w:rPr>
          <w:lang w:val="en-US" w:eastAsia="fr-FR"/>
        </w:rPr>
        <w:t>D. Wang</w:t>
      </w:r>
      <w:r w:rsidR="00617595">
        <w:rPr>
          <w:lang w:val="en-US" w:eastAsia="fr-FR"/>
        </w:rPr>
        <w:t xml:space="preserve"> (1)</w:t>
      </w:r>
      <w:r w:rsidR="00617595" w:rsidRPr="001A47CA">
        <w:rPr>
          <w:lang w:val="en-US" w:eastAsia="fr-FR"/>
        </w:rPr>
        <w:t xml:space="preserve">, </w:t>
      </w:r>
      <w:r w:rsidR="001A47CA">
        <w:rPr>
          <w:lang w:val="en-US" w:eastAsia="fr-FR"/>
        </w:rPr>
        <w:t xml:space="preserve">R.T. Flynn (1), M.L. Kirk (2), L. Lin (2), T.D. Solberg (2), A. Lin (2), D.E. </w:t>
      </w:r>
      <w:proofErr w:type="spellStart"/>
      <w:r w:rsidR="001A47CA">
        <w:rPr>
          <w:lang w:val="en-US" w:eastAsia="fr-FR"/>
        </w:rPr>
        <w:t>Hyer</w:t>
      </w:r>
      <w:proofErr w:type="spellEnd"/>
      <w:r w:rsidR="001A47CA">
        <w:rPr>
          <w:lang w:val="en-US" w:eastAsia="fr-FR"/>
        </w:rPr>
        <w:t xml:space="preserve"> (</w:t>
      </w:r>
      <w:r w:rsidR="00A35B0E">
        <w:rPr>
          <w:lang w:val="en-US" w:eastAsia="fr-FR"/>
        </w:rPr>
        <w:t>1</w:t>
      </w:r>
      <w:r w:rsidR="001A47CA">
        <w:rPr>
          <w:lang w:val="en-US" w:eastAsia="fr-FR"/>
        </w:rPr>
        <w:t>)</w:t>
      </w:r>
    </w:p>
    <w:p w:rsidR="00EE7E6E" w:rsidRPr="00316DDC" w:rsidRDefault="00D82392" w:rsidP="00B20D60">
      <w:pPr>
        <w:pStyle w:val="Sansinterligne"/>
        <w:ind w:left="708"/>
        <w:rPr>
          <w:lang w:val="en-US" w:eastAsia="fr-FR"/>
        </w:rPr>
      </w:pPr>
      <w:r>
        <w:rPr>
          <w:lang w:val="en-US" w:eastAsia="fr-FR"/>
        </w:rPr>
        <w:t>(</w:t>
      </w:r>
      <w:r w:rsidR="001A47CA">
        <w:rPr>
          <w:lang w:val="en-US" w:eastAsia="fr-FR"/>
        </w:rPr>
        <w:t>1</w:t>
      </w:r>
      <w:r>
        <w:rPr>
          <w:lang w:val="en-US" w:eastAsia="fr-FR"/>
        </w:rPr>
        <w:t>)</w:t>
      </w:r>
      <w:r w:rsidR="00EE7E6E" w:rsidRPr="00316DDC">
        <w:rPr>
          <w:lang w:val="en-US" w:eastAsia="fr-FR"/>
        </w:rPr>
        <w:t xml:space="preserve"> </w:t>
      </w:r>
      <w:r w:rsidR="009D3CE4" w:rsidRPr="009D3CE4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  <w:lang w:val="en-US"/>
        </w:rPr>
        <w:t>Department</w:t>
      </w:r>
      <w:r w:rsidR="001A47CA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  <w:lang w:val="en-US"/>
        </w:rPr>
        <w:t xml:space="preserve"> of Radiation Oncology, University of Iowa Hospital and Clinics, Iowa, United States of America</w:t>
      </w:r>
    </w:p>
    <w:p w:rsidR="00EE7E6E" w:rsidRPr="009D3CE4" w:rsidRDefault="00D82392" w:rsidP="00B20D60">
      <w:pPr>
        <w:pStyle w:val="Sansinterligne"/>
        <w:ind w:left="708"/>
        <w:rPr>
          <w:lang w:val="en-US" w:eastAsia="fr-FR"/>
        </w:rPr>
      </w:pPr>
      <w:r>
        <w:rPr>
          <w:lang w:val="en-US" w:eastAsia="fr-FR"/>
        </w:rPr>
        <w:t>(</w:t>
      </w:r>
      <w:r w:rsidR="001A47CA">
        <w:rPr>
          <w:lang w:val="en-US" w:eastAsia="fr-FR"/>
        </w:rPr>
        <w:t>2</w:t>
      </w:r>
      <w:r>
        <w:rPr>
          <w:lang w:val="en-US" w:eastAsia="fr-FR"/>
        </w:rPr>
        <w:t>)</w:t>
      </w:r>
      <w:r w:rsidR="001A47CA">
        <w:rPr>
          <w:lang w:val="en-US" w:eastAsia="fr-FR"/>
        </w:rPr>
        <w:t xml:space="preserve"> </w:t>
      </w:r>
      <w:r w:rsidR="009D3CE4" w:rsidRPr="009D3CE4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  <w:lang w:val="en-US"/>
        </w:rPr>
        <w:t>Department</w:t>
      </w:r>
      <w:r w:rsidR="001A47CA">
        <w:rPr>
          <w:rFonts w:ascii="Lucida Sans Unicode" w:hAnsi="Lucida Sans Unicode" w:cs="Lucida Sans Unicode"/>
          <w:color w:val="000000"/>
          <w:sz w:val="18"/>
          <w:szCs w:val="18"/>
          <w:shd w:val="clear" w:color="auto" w:fill="FFFFFF"/>
          <w:lang w:val="en-US"/>
        </w:rPr>
        <w:t xml:space="preserve"> of Radiation Oncology, University of Pennsylvania, Philadelphia, United States of America</w:t>
      </w:r>
    </w:p>
    <w:p w:rsidR="00316DDC" w:rsidRPr="00316DDC" w:rsidRDefault="00316DDC" w:rsidP="00316DDC">
      <w:pPr>
        <w:pStyle w:val="Sansinterligne"/>
        <w:ind w:left="1416"/>
        <w:rPr>
          <w:lang w:val="en-US" w:eastAsia="fr-FR"/>
        </w:rPr>
      </w:pPr>
    </w:p>
    <w:p w:rsidR="00EE7E6E" w:rsidRPr="0005491B" w:rsidRDefault="00EE7E6E" w:rsidP="0005491B">
      <w:pPr>
        <w:pStyle w:val="Sansinterligne"/>
        <w:jc w:val="both"/>
        <w:rPr>
          <w:lang w:val="en-US"/>
        </w:rPr>
      </w:pPr>
      <w:r w:rsidRPr="00316DDC">
        <w:rPr>
          <w:b/>
          <w:lang w:val="en-US" w:eastAsia="fr-FR"/>
        </w:rPr>
        <w:t>Introduction:</w:t>
      </w:r>
      <w:r w:rsidR="00316DDC">
        <w:rPr>
          <w:b/>
          <w:lang w:val="en-US" w:eastAsia="fr-FR"/>
        </w:rPr>
        <w:t xml:space="preserve"> </w:t>
      </w:r>
      <w:r w:rsidR="00BD29D7">
        <w:rPr>
          <w:lang w:val="en-US"/>
        </w:rPr>
        <w:t>S</w:t>
      </w:r>
      <w:r w:rsidR="0005491B" w:rsidRPr="0005491B">
        <w:rPr>
          <w:lang w:val="en-US"/>
        </w:rPr>
        <w:t>pot scanning proton therapy (SSPT) treatments suffer from poor conformity</w:t>
      </w:r>
      <w:r w:rsidR="00BD29D7">
        <w:rPr>
          <w:lang w:val="en-US"/>
        </w:rPr>
        <w:t>, especially at low energy,</w:t>
      </w:r>
      <w:r w:rsidR="0005491B" w:rsidRPr="0005491B">
        <w:rPr>
          <w:lang w:val="en-US"/>
        </w:rPr>
        <w:t xml:space="preserve"> due to increased lateral spot size, which is further increased with the patient scattering. </w:t>
      </w:r>
      <w:r w:rsidR="00BD29D7">
        <w:rPr>
          <w:lang w:val="en-US"/>
        </w:rPr>
        <w:t>The University of Iowa Hospitals and Clinics recently proposed a dynamic collimation system (DCS) for SSPT, which is capable of providing spot-by-spot collimation.</w:t>
      </w:r>
      <w:r w:rsidR="00ED7E38">
        <w:rPr>
          <w:lang w:val="en-US"/>
        </w:rPr>
        <w:t xml:space="preserve"> </w:t>
      </w:r>
      <w:r w:rsidR="0005491B">
        <w:rPr>
          <w:lang w:val="en-US"/>
        </w:rPr>
        <w:t>The purpose of this study is t</w:t>
      </w:r>
      <w:r w:rsidR="0005491B" w:rsidRPr="0005491B">
        <w:rPr>
          <w:lang w:val="en-US" w:eastAsia="fr-FR"/>
        </w:rPr>
        <w:t xml:space="preserve">o quantify </w:t>
      </w:r>
      <w:r w:rsidR="00BD29D7">
        <w:rPr>
          <w:lang w:val="en-US" w:eastAsia="fr-FR"/>
        </w:rPr>
        <w:t xml:space="preserve">by simulations </w:t>
      </w:r>
      <w:r w:rsidR="0005491B" w:rsidRPr="0005491B">
        <w:rPr>
          <w:lang w:val="en-US" w:eastAsia="fr-FR"/>
        </w:rPr>
        <w:t>improvement in target conformity</w:t>
      </w:r>
      <w:r w:rsidR="00BD29D7">
        <w:rPr>
          <w:lang w:val="en-US" w:eastAsia="fr-FR"/>
        </w:rPr>
        <w:t xml:space="preserve"> from the use of the DCS,</w:t>
      </w:r>
      <w:r w:rsidR="0005491B" w:rsidRPr="0005491B">
        <w:rPr>
          <w:lang w:val="en-US" w:eastAsia="fr-FR"/>
        </w:rPr>
        <w:t xml:space="preserve"> in brain and head and neck tumor treatm</w:t>
      </w:r>
      <w:r w:rsidR="00BD29D7">
        <w:rPr>
          <w:lang w:val="en-US" w:eastAsia="fr-FR"/>
        </w:rPr>
        <w:t>ents</w:t>
      </w:r>
      <w:r w:rsidR="0005491B">
        <w:rPr>
          <w:lang w:val="en-US" w:eastAsia="fr-FR"/>
        </w:rPr>
        <w:t>.</w:t>
      </w:r>
    </w:p>
    <w:p w:rsidR="00316DDC" w:rsidRPr="00316DDC" w:rsidRDefault="00316DDC" w:rsidP="00316DDC">
      <w:pPr>
        <w:pStyle w:val="Sansinterligne"/>
        <w:rPr>
          <w:b/>
          <w:lang w:val="en-US" w:eastAsia="fr-FR"/>
        </w:rPr>
      </w:pPr>
    </w:p>
    <w:p w:rsidR="00316DDC" w:rsidRPr="0005491B" w:rsidRDefault="00EE7E6E" w:rsidP="0005491B">
      <w:pPr>
        <w:pStyle w:val="Sansinterligne"/>
        <w:jc w:val="both"/>
        <w:rPr>
          <w:lang w:val="en-US" w:eastAsia="fr-FR"/>
        </w:rPr>
      </w:pPr>
      <w:r w:rsidRPr="00316DDC">
        <w:rPr>
          <w:b/>
          <w:lang w:val="en-US" w:eastAsia="fr-FR"/>
        </w:rPr>
        <w:t>Methods:</w:t>
      </w:r>
      <w:r w:rsidR="00316DDC">
        <w:rPr>
          <w:b/>
          <w:lang w:val="en-US" w:eastAsia="fr-FR"/>
        </w:rPr>
        <w:t xml:space="preserve"> </w:t>
      </w:r>
      <w:r w:rsidR="0005491B">
        <w:rPr>
          <w:lang w:val="en-US" w:eastAsia="fr-FR"/>
        </w:rPr>
        <w:t>T</w:t>
      </w:r>
      <w:r w:rsidR="0005491B" w:rsidRPr="0005491B">
        <w:rPr>
          <w:lang w:val="en-US" w:eastAsia="fr-FR"/>
        </w:rPr>
        <w:t xml:space="preserve">wo spot scanning proton therapy delivery systems (Universal Nozzle, UN, and Dedicated Nozzle, </w:t>
      </w:r>
      <w:proofErr w:type="gramStart"/>
      <w:r w:rsidR="0005491B" w:rsidRPr="0005491B">
        <w:rPr>
          <w:lang w:val="en-US" w:eastAsia="fr-FR"/>
        </w:rPr>
        <w:t>DN</w:t>
      </w:r>
      <w:r w:rsidR="0005491B">
        <w:rPr>
          <w:lang w:val="en-US" w:eastAsia="fr-FR"/>
        </w:rPr>
        <w:t xml:space="preserve"> </w:t>
      </w:r>
      <w:r w:rsidR="00AA5351">
        <w:rPr>
          <w:lang w:val="en-US" w:eastAsia="fr-FR"/>
        </w:rPr>
        <w:t xml:space="preserve"> -</w:t>
      </w:r>
      <w:proofErr w:type="gramEnd"/>
      <w:r w:rsidR="00AA5351">
        <w:rPr>
          <w:lang w:val="en-US" w:eastAsia="fr-FR"/>
        </w:rPr>
        <w:t xml:space="preserve"> </w:t>
      </w:r>
      <w:r w:rsidR="0005491B">
        <w:rPr>
          <w:lang w:val="en-US" w:eastAsia="fr-FR"/>
        </w:rPr>
        <w:t xml:space="preserve"> IBA company</w:t>
      </w:r>
      <w:r w:rsidR="0005491B" w:rsidRPr="0005491B">
        <w:rPr>
          <w:lang w:val="en-US" w:eastAsia="fr-FR"/>
        </w:rPr>
        <w:t xml:space="preserve">) with median spot sizes of 5.2 mm and 3.2 mm over a range of energies from 100 to 230 MeV </w:t>
      </w:r>
      <w:r w:rsidR="0005491B">
        <w:rPr>
          <w:lang w:val="en-US" w:eastAsia="fr-FR"/>
        </w:rPr>
        <w:t xml:space="preserve">were considered. </w:t>
      </w:r>
      <w:proofErr w:type="spellStart"/>
      <w:r w:rsidR="0005491B" w:rsidRPr="0005491B">
        <w:rPr>
          <w:lang w:val="en-US" w:eastAsia="fr-FR"/>
        </w:rPr>
        <w:t>Uncollimated</w:t>
      </w:r>
      <w:proofErr w:type="spellEnd"/>
      <w:r w:rsidR="0005491B" w:rsidRPr="0005491B">
        <w:rPr>
          <w:lang w:val="en-US" w:eastAsia="fr-FR"/>
        </w:rPr>
        <w:t xml:space="preserve"> and collimated plans were calculated with both UN and DN beam models implemented within our in-house treatment planning system for five brain and ten head and neck datasets </w:t>
      </w:r>
      <w:r w:rsidR="00BD29D7">
        <w:rPr>
          <w:lang w:val="en-US" w:eastAsia="fr-FR"/>
        </w:rPr>
        <w:t>of</w:t>
      </w:r>
      <w:r w:rsidR="0005491B" w:rsidRPr="0005491B">
        <w:rPr>
          <w:lang w:val="en-US" w:eastAsia="fr-FR"/>
        </w:rPr>
        <w:t xml:space="preserve"> patients previously treated with spot scanning proton therapy. </w:t>
      </w:r>
      <w:r w:rsidR="00AA5351">
        <w:rPr>
          <w:lang w:val="en-US" w:eastAsia="fr-FR"/>
        </w:rPr>
        <w:t>T</w:t>
      </w:r>
      <w:r w:rsidR="00920534">
        <w:rPr>
          <w:lang w:val="en-US" w:eastAsia="fr-FR"/>
        </w:rPr>
        <w:t xml:space="preserve">he DCS was simulated as close as 5 cm from the patient surface. </w:t>
      </w:r>
      <w:r w:rsidR="0005491B" w:rsidRPr="0005491B">
        <w:rPr>
          <w:lang w:val="en-US" w:eastAsia="fr-FR"/>
        </w:rPr>
        <w:t xml:space="preserve">The average reduction of the mean dose to the 10-mm ring surrounding the target between the </w:t>
      </w:r>
      <w:proofErr w:type="spellStart"/>
      <w:r w:rsidR="0005491B" w:rsidRPr="0005491B">
        <w:rPr>
          <w:lang w:val="en-US" w:eastAsia="fr-FR"/>
        </w:rPr>
        <w:t>uncollimated</w:t>
      </w:r>
      <w:proofErr w:type="spellEnd"/>
      <w:r w:rsidR="0005491B" w:rsidRPr="0005491B">
        <w:rPr>
          <w:lang w:val="en-US" w:eastAsia="fr-FR"/>
        </w:rPr>
        <w:t xml:space="preserve"> and collimated plans was calculated for the UN and DN. Target conformity was analyzed using the mean dose to 1-mm thickness rings surrounding the target at increasing distances ranging from 1 mm to 10 mm.</w:t>
      </w:r>
      <w:r w:rsidR="00606B64">
        <w:rPr>
          <w:lang w:val="en-US" w:eastAsia="fr-FR"/>
        </w:rPr>
        <w:t xml:space="preserve"> The dose reduction to some organs-at-risk was also quantified.</w:t>
      </w:r>
    </w:p>
    <w:p w:rsidR="00316DDC" w:rsidRPr="00316DDC" w:rsidRDefault="00316DDC" w:rsidP="00316DDC">
      <w:pPr>
        <w:pStyle w:val="Sansinterligne"/>
        <w:rPr>
          <w:b/>
          <w:lang w:val="en-US" w:eastAsia="fr-FR"/>
        </w:rPr>
      </w:pPr>
    </w:p>
    <w:p w:rsidR="00EE7E6E" w:rsidRDefault="00EE7E6E" w:rsidP="00090DD4">
      <w:pPr>
        <w:pStyle w:val="Sansinterligne"/>
        <w:jc w:val="both"/>
        <w:rPr>
          <w:b/>
          <w:lang w:val="en-US" w:eastAsia="fr-FR"/>
        </w:rPr>
      </w:pPr>
      <w:r w:rsidRPr="00316DDC">
        <w:rPr>
          <w:b/>
          <w:lang w:val="en-US" w:eastAsia="fr-FR"/>
        </w:rPr>
        <w:t>Results:</w:t>
      </w:r>
      <w:r w:rsidR="00316DDC">
        <w:rPr>
          <w:b/>
          <w:lang w:val="en-US" w:eastAsia="fr-FR"/>
        </w:rPr>
        <w:t xml:space="preserve"> </w:t>
      </w:r>
      <w:r w:rsidR="00D82392" w:rsidRPr="00D82392">
        <w:rPr>
          <w:lang w:val="en-US" w:eastAsia="fr-FR"/>
        </w:rPr>
        <w:t xml:space="preserve">The average reductions of the 10-mm ring mean dose for the UN and DN plans were 13.7% (95% CI: 11.6%-15.7%; p&lt;0.0001) and 11.5% (95% CI: 9.5%-13.5%; p&lt;0.0001) across all brain cases, and 7.1% (95% CI: 4.4% to 9.8%; p&lt;0.001) and 6.3% (95% CI: 3.7% to 9.0%; p&lt;0.001) respectively across all head and neck cases. The collimated UN plans were either more conformal (all brain cases and 60% of the head and neck cases) than or equivalent (40% of the head and neck cases) to the </w:t>
      </w:r>
      <w:proofErr w:type="spellStart"/>
      <w:r w:rsidR="00D82392" w:rsidRPr="00D82392">
        <w:rPr>
          <w:lang w:val="en-US" w:eastAsia="fr-FR"/>
        </w:rPr>
        <w:t>uncollimated</w:t>
      </w:r>
      <w:proofErr w:type="spellEnd"/>
      <w:r w:rsidR="00D82392" w:rsidRPr="00D82392">
        <w:rPr>
          <w:lang w:val="en-US" w:eastAsia="fr-FR"/>
        </w:rPr>
        <w:t xml:space="preserve"> DN plans. The collimated DN plans offered the highest conformity.</w:t>
      </w:r>
    </w:p>
    <w:p w:rsidR="00316DDC" w:rsidRPr="00316DDC" w:rsidRDefault="00316DDC" w:rsidP="00090DD4">
      <w:pPr>
        <w:pStyle w:val="Sansinterligne"/>
        <w:jc w:val="both"/>
        <w:rPr>
          <w:b/>
          <w:lang w:val="en-US" w:eastAsia="fr-FR"/>
        </w:rPr>
      </w:pPr>
    </w:p>
    <w:p w:rsidR="00EE7E6E" w:rsidRPr="00942E37" w:rsidRDefault="00EE7E6E" w:rsidP="00090DD4">
      <w:pPr>
        <w:pStyle w:val="Sansinterligne"/>
        <w:jc w:val="both"/>
        <w:rPr>
          <w:lang w:val="en-US" w:eastAsia="fr-FR"/>
        </w:rPr>
      </w:pPr>
      <w:r w:rsidRPr="00316DDC">
        <w:rPr>
          <w:b/>
          <w:lang w:val="en-US" w:eastAsia="fr-FR"/>
        </w:rPr>
        <w:t>Conclusions:</w:t>
      </w:r>
      <w:r w:rsidR="00316DDC">
        <w:rPr>
          <w:b/>
          <w:lang w:val="en-US" w:eastAsia="fr-FR"/>
        </w:rPr>
        <w:t xml:space="preserve"> </w:t>
      </w:r>
      <w:r w:rsidR="00920534" w:rsidRPr="00920534">
        <w:rPr>
          <w:lang w:val="en-US" w:eastAsia="fr-FR"/>
        </w:rPr>
        <w:t>According to these simulations, t</w:t>
      </w:r>
      <w:r w:rsidR="00942E37" w:rsidRPr="00920534">
        <w:rPr>
          <w:lang w:val="en-US" w:eastAsia="fr-FR"/>
        </w:rPr>
        <w:t>he</w:t>
      </w:r>
      <w:r w:rsidR="00942E37" w:rsidRPr="00942E37">
        <w:rPr>
          <w:lang w:val="en-US" w:eastAsia="fr-FR"/>
        </w:rPr>
        <w:t xml:space="preserve"> DCS</w:t>
      </w:r>
      <w:r w:rsidR="00920534">
        <w:rPr>
          <w:lang w:val="en-US" w:eastAsia="fr-FR"/>
        </w:rPr>
        <w:t xml:space="preserve"> </w:t>
      </w:r>
      <w:r w:rsidR="00090DD4">
        <w:rPr>
          <w:lang w:val="en-US" w:eastAsia="fr-FR"/>
        </w:rPr>
        <w:t>improved the target conformity</w:t>
      </w:r>
      <w:r w:rsidR="00BD29D7">
        <w:rPr>
          <w:lang w:val="en-US" w:eastAsia="fr-FR"/>
        </w:rPr>
        <w:t xml:space="preserve"> for both the UN and the DN</w:t>
      </w:r>
      <w:r w:rsidR="00090DD4">
        <w:rPr>
          <w:lang w:val="en-US" w:eastAsia="fr-FR"/>
        </w:rPr>
        <w:t>, and offered better dose reduction to OARs</w:t>
      </w:r>
      <w:r w:rsidR="008452C0">
        <w:rPr>
          <w:lang w:val="en-US" w:eastAsia="fr-FR"/>
        </w:rPr>
        <w:t xml:space="preserve"> [</w:t>
      </w:r>
      <w:r w:rsidR="00617595">
        <w:rPr>
          <w:lang w:val="en-US" w:eastAsia="fr-FR"/>
        </w:rPr>
        <w:t>1</w:t>
      </w:r>
      <w:r w:rsidR="008452C0">
        <w:rPr>
          <w:lang w:val="en-US" w:eastAsia="fr-FR"/>
        </w:rPr>
        <w:t>-</w:t>
      </w:r>
      <w:r w:rsidR="00617595">
        <w:rPr>
          <w:lang w:val="en-US" w:eastAsia="fr-FR"/>
        </w:rPr>
        <w:t>3</w:t>
      </w:r>
      <w:r w:rsidR="008452C0">
        <w:rPr>
          <w:lang w:val="en-US" w:eastAsia="fr-FR"/>
        </w:rPr>
        <w:t>]</w:t>
      </w:r>
      <w:r w:rsidR="00090DD4">
        <w:rPr>
          <w:lang w:val="en-US" w:eastAsia="fr-FR"/>
        </w:rPr>
        <w:t xml:space="preserve">. </w:t>
      </w:r>
    </w:p>
    <w:p w:rsidR="00316DDC" w:rsidRPr="00316DDC" w:rsidRDefault="00316DDC" w:rsidP="00316DDC">
      <w:pPr>
        <w:pStyle w:val="Sansinterligne"/>
        <w:rPr>
          <w:b/>
          <w:lang w:val="en-US" w:eastAsia="fr-FR"/>
        </w:rPr>
      </w:pPr>
    </w:p>
    <w:p w:rsidR="00EE7E6E" w:rsidRPr="00316DDC" w:rsidRDefault="00EE7E6E" w:rsidP="00316DDC">
      <w:pPr>
        <w:pStyle w:val="Sansinterligne"/>
        <w:rPr>
          <w:b/>
          <w:lang w:val="en-US" w:eastAsia="fr-FR"/>
        </w:rPr>
      </w:pPr>
      <w:r w:rsidRPr="00316DDC">
        <w:rPr>
          <w:b/>
          <w:lang w:val="en-US" w:eastAsia="fr-FR"/>
        </w:rPr>
        <w:t>References:</w:t>
      </w:r>
    </w:p>
    <w:p w:rsidR="00EE7E6E" w:rsidRPr="00186E5F" w:rsidRDefault="00186E5F" w:rsidP="00186E5F">
      <w:pPr>
        <w:pStyle w:val="Sansinterligne"/>
        <w:numPr>
          <w:ilvl w:val="0"/>
          <w:numId w:val="1"/>
        </w:numPr>
        <w:rPr>
          <w:lang w:eastAsia="fr-FR"/>
        </w:rPr>
      </w:pPr>
      <w:r>
        <w:rPr>
          <w:lang w:eastAsia="fr-FR"/>
        </w:rPr>
        <w:t xml:space="preserve">Moignier A et al. </w:t>
      </w:r>
      <w:r w:rsidRPr="00186E5F">
        <w:rPr>
          <w:lang w:eastAsia="fr-FR"/>
        </w:rPr>
        <w:t>IJROBP 2015. http://dx.doi.org/10.1016/j.ijrobp.2015.07.2029.</w:t>
      </w:r>
    </w:p>
    <w:p w:rsidR="00186E5F" w:rsidRPr="0014577F" w:rsidRDefault="00186E5F" w:rsidP="00186E5F">
      <w:pPr>
        <w:pStyle w:val="Sansinterligne"/>
        <w:numPr>
          <w:ilvl w:val="0"/>
          <w:numId w:val="1"/>
        </w:numPr>
        <w:rPr>
          <w:lang w:eastAsia="fr-FR"/>
        </w:rPr>
      </w:pPr>
      <w:r w:rsidRPr="00186E5F">
        <w:rPr>
          <w:lang w:eastAsia="fr-FR"/>
        </w:rPr>
        <w:t xml:space="preserve">Moignier A </w:t>
      </w:r>
      <w:r>
        <w:rPr>
          <w:lang w:eastAsia="fr-FR"/>
        </w:rPr>
        <w:t xml:space="preserve">et al. </w:t>
      </w:r>
      <w:r w:rsidRPr="0014577F">
        <w:rPr>
          <w:lang w:eastAsia="fr-FR"/>
        </w:rPr>
        <w:t>IJPT 2016. http://dx.doi.org/10.14338/IJPT-15-00036.1.</w:t>
      </w:r>
    </w:p>
    <w:p w:rsidR="008452C0" w:rsidRPr="00617595" w:rsidRDefault="00186E5F" w:rsidP="00D21172">
      <w:pPr>
        <w:pStyle w:val="Sansinterligne"/>
        <w:numPr>
          <w:ilvl w:val="0"/>
          <w:numId w:val="1"/>
        </w:numPr>
        <w:rPr>
          <w:lang w:eastAsia="fr-FR"/>
        </w:rPr>
      </w:pPr>
      <w:r w:rsidRPr="00186E5F">
        <w:rPr>
          <w:lang w:eastAsia="fr-FR"/>
        </w:rPr>
        <w:t xml:space="preserve">Moignier A et al. </w:t>
      </w:r>
      <w:r w:rsidR="008452C0" w:rsidRPr="00617595">
        <w:rPr>
          <w:lang w:eastAsia="fr-FR"/>
        </w:rPr>
        <w:t xml:space="preserve">Med </w:t>
      </w:r>
      <w:proofErr w:type="spellStart"/>
      <w:r w:rsidR="008452C0" w:rsidRPr="00617595">
        <w:rPr>
          <w:lang w:eastAsia="fr-FR"/>
        </w:rPr>
        <w:t>Phys</w:t>
      </w:r>
      <w:proofErr w:type="spellEnd"/>
      <w:r w:rsidR="00A161F4" w:rsidRPr="00617595">
        <w:rPr>
          <w:lang w:eastAsia="fr-FR"/>
        </w:rPr>
        <w:t xml:space="preserve"> 2016</w:t>
      </w:r>
      <w:r w:rsidRPr="00617595">
        <w:rPr>
          <w:lang w:eastAsia="fr-FR"/>
        </w:rPr>
        <w:t xml:space="preserve">. </w:t>
      </w:r>
      <w:r w:rsidR="00D21172" w:rsidRPr="00617595">
        <w:rPr>
          <w:lang w:eastAsia="fr-FR"/>
        </w:rPr>
        <w:t>http://dx.doi.org/10.1118/1.4942375.</w:t>
      </w:r>
    </w:p>
    <w:p w:rsidR="00316DDC" w:rsidRPr="00617595" w:rsidRDefault="00316DDC" w:rsidP="00316DDC">
      <w:pPr>
        <w:pStyle w:val="Sansinterligne"/>
        <w:rPr>
          <w:lang w:eastAsia="fr-FR"/>
        </w:rPr>
      </w:pPr>
      <w:bookmarkStart w:id="0" w:name="_GoBack"/>
      <w:bookmarkEnd w:id="0"/>
    </w:p>
    <w:p w:rsidR="00316DDC" w:rsidRPr="00617595" w:rsidRDefault="00316DDC" w:rsidP="00316DDC">
      <w:pPr>
        <w:pStyle w:val="Sansinterligne"/>
        <w:rPr>
          <w:lang w:eastAsia="fr-FR"/>
        </w:rPr>
      </w:pPr>
    </w:p>
    <w:p w:rsidR="00EE7E6E" w:rsidRPr="00617595" w:rsidRDefault="00EE7E6E" w:rsidP="00EE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E6E" w:rsidRPr="00617595" w:rsidRDefault="00EE7E6E" w:rsidP="00EE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E6E" w:rsidRPr="00617595" w:rsidRDefault="00EE7E6E" w:rsidP="00EE7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044E" w:rsidRPr="00617595" w:rsidRDefault="003E044E"/>
    <w:sectPr w:rsidR="003E044E" w:rsidRPr="00617595" w:rsidSect="00311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43A2C"/>
    <w:multiLevelType w:val="hybridMultilevel"/>
    <w:tmpl w:val="EAA2E080"/>
    <w:lvl w:ilvl="0" w:tplc="3AB8FBE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7E6E"/>
    <w:rsid w:val="0005491B"/>
    <w:rsid w:val="00090DD4"/>
    <w:rsid w:val="0014577F"/>
    <w:rsid w:val="00186E5F"/>
    <w:rsid w:val="001A47CA"/>
    <w:rsid w:val="001C75C2"/>
    <w:rsid w:val="001D4F0C"/>
    <w:rsid w:val="0029463E"/>
    <w:rsid w:val="00311326"/>
    <w:rsid w:val="00311D61"/>
    <w:rsid w:val="00316DDC"/>
    <w:rsid w:val="003E044E"/>
    <w:rsid w:val="003E1F79"/>
    <w:rsid w:val="00517B36"/>
    <w:rsid w:val="00545C29"/>
    <w:rsid w:val="00606B64"/>
    <w:rsid w:val="00617595"/>
    <w:rsid w:val="00625F72"/>
    <w:rsid w:val="00670C12"/>
    <w:rsid w:val="006F3299"/>
    <w:rsid w:val="00744199"/>
    <w:rsid w:val="00753F40"/>
    <w:rsid w:val="0077579E"/>
    <w:rsid w:val="00801B66"/>
    <w:rsid w:val="008452C0"/>
    <w:rsid w:val="0087391C"/>
    <w:rsid w:val="00920534"/>
    <w:rsid w:val="00934EAB"/>
    <w:rsid w:val="00942E37"/>
    <w:rsid w:val="009D1B94"/>
    <w:rsid w:val="009D3CE4"/>
    <w:rsid w:val="00A161F4"/>
    <w:rsid w:val="00A35B0E"/>
    <w:rsid w:val="00AA5351"/>
    <w:rsid w:val="00AC1369"/>
    <w:rsid w:val="00B20D60"/>
    <w:rsid w:val="00B63276"/>
    <w:rsid w:val="00B63C11"/>
    <w:rsid w:val="00BD29D7"/>
    <w:rsid w:val="00BF7DCD"/>
    <w:rsid w:val="00C63D0B"/>
    <w:rsid w:val="00C679B9"/>
    <w:rsid w:val="00CB0A5E"/>
    <w:rsid w:val="00D21172"/>
    <w:rsid w:val="00D82392"/>
    <w:rsid w:val="00DF58C8"/>
    <w:rsid w:val="00E50C5C"/>
    <w:rsid w:val="00E61CC1"/>
    <w:rsid w:val="00EC5C40"/>
    <w:rsid w:val="00ED7E38"/>
    <w:rsid w:val="00EE7E6E"/>
    <w:rsid w:val="00F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7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E7E6E"/>
    <w:rPr>
      <w:b/>
      <w:bCs/>
    </w:rPr>
  </w:style>
  <w:style w:type="paragraph" w:styleId="Sansinterligne">
    <w:name w:val="No Spacing"/>
    <w:uiPriority w:val="1"/>
    <w:qFormat/>
    <w:rsid w:val="00316DDC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3E044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rsid w:val="003E044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CB0A5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2493</Characters>
  <Application>Microsoft Office Word</Application>
  <DocSecurity>0</DocSecurity>
  <Lines>48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crop</dc:creator>
  <cp:keywords/>
  <dc:description/>
  <cp:lastModifiedBy>Moignier Alexandra</cp:lastModifiedBy>
  <cp:revision>30</cp:revision>
  <dcterms:created xsi:type="dcterms:W3CDTF">2016-01-21T16:49:00Z</dcterms:created>
  <dcterms:modified xsi:type="dcterms:W3CDTF">2016-03-30T06:58:00Z</dcterms:modified>
</cp:coreProperties>
</file>