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65D" w:rsidRDefault="005A165D" w:rsidP="005A165D">
      <w:pPr>
        <w:jc w:val="both"/>
        <w:rPr>
          <w:lang w:val="en-US"/>
        </w:rPr>
      </w:pPr>
      <w:r>
        <w:rPr>
          <w:b/>
          <w:bCs/>
          <w:lang w:val="en-US"/>
        </w:rPr>
        <w:t>Introduction</w:t>
      </w:r>
      <w:r>
        <w:rPr>
          <w:lang w:val="en-US"/>
        </w:rPr>
        <w:t xml:space="preserve">: MRI-based treatment planning is a key step in the achievement of MRI-only treatment, without the use of CT. Its major interest is that there is no need to perform a CT scan, thus eliminating target localization errors induced by CT-to-MRI registration. For that purpose, we developed an atlas-based method to construct a pseudo-CT (pCT) from the MR image of the patient for Cyberknife treatments of head and neck patients. </w:t>
      </w:r>
    </w:p>
    <w:p w:rsidR="005A165D" w:rsidRDefault="005A165D" w:rsidP="005A165D">
      <w:pPr>
        <w:jc w:val="both"/>
        <w:rPr>
          <w:lang w:val="en-US"/>
        </w:rPr>
      </w:pPr>
      <w:r>
        <w:rPr>
          <w:b/>
          <w:lang w:val="en-US"/>
        </w:rPr>
        <w:t>Methods</w:t>
      </w:r>
      <w:r>
        <w:rPr>
          <w:lang w:val="en-US"/>
        </w:rPr>
        <w:t xml:space="preserve">: Our method is based on the method of Gudur et al. [1]. Our atlas consists of an aligned pair of CT and MR images of the same patient. A set of 23 brain tumor (test) patients were retrospectively analyzed. The MR image of the atlas and the MR image of each test patient were </w:t>
      </w:r>
      <w:r>
        <w:rPr>
          <w:lang w:val="en-US"/>
        </w:rPr>
        <w:t>non-rigidly</w:t>
      </w:r>
      <w:r>
        <w:rPr>
          <w:lang w:val="en-US"/>
        </w:rPr>
        <w:t xml:space="preserve"> registered, and the resulting deformation field was used to map the atlas onto the MR image of the test patient. To construct the pCT from the MR image of the test patient, every pixel (“pixel of interest”) of the deformed atlas CT image was replaced by a HU weighted sum of the most similar intensity-based neighbors. The neighbors selected were those whose intensities in the deformed atlas MR image differed from the intensity of the pixel of interest in the MR image of the test patient by less than +/-5%. To evaluate our results, for each test patient, we calculated the dose distributions with our in-house Monte Carlo algorithm using the estimated pCT and the true CT (tCT), and we compared the coverage of the planning target volume (PTV) focusing on the following dose-volume histogram (DVH) parameters: D</w:t>
      </w:r>
      <w:r>
        <w:rPr>
          <w:vertAlign w:val="subscript"/>
          <w:lang w:val="en-US"/>
        </w:rPr>
        <w:t>98</w:t>
      </w:r>
      <w:r>
        <w:rPr>
          <w:lang w:val="en-US"/>
        </w:rPr>
        <w:t>, D</w:t>
      </w:r>
      <w:r>
        <w:rPr>
          <w:vertAlign w:val="subscript"/>
          <w:lang w:val="en-US"/>
        </w:rPr>
        <w:t>95</w:t>
      </w:r>
      <w:r>
        <w:rPr>
          <w:lang w:val="en-US"/>
        </w:rPr>
        <w:t>, D</w:t>
      </w:r>
      <w:r>
        <w:rPr>
          <w:vertAlign w:val="subscript"/>
          <w:lang w:val="en-US"/>
        </w:rPr>
        <w:t>50</w:t>
      </w:r>
      <w:r>
        <w:rPr>
          <w:lang w:val="en-US"/>
        </w:rPr>
        <w:t>, D</w:t>
      </w:r>
      <w:r>
        <w:rPr>
          <w:vertAlign w:val="subscript"/>
          <w:lang w:val="en-US"/>
        </w:rPr>
        <w:t>05</w:t>
      </w:r>
      <w:r>
        <w:rPr>
          <w:lang w:val="en-US"/>
        </w:rPr>
        <w:t>, D</w:t>
      </w:r>
      <w:r>
        <w:rPr>
          <w:vertAlign w:val="subscript"/>
          <w:lang w:val="en-US"/>
        </w:rPr>
        <w:t>02</w:t>
      </w:r>
      <w:r>
        <w:rPr>
          <w:lang w:val="en-US"/>
        </w:rPr>
        <w:t xml:space="preserve"> and D</w:t>
      </w:r>
      <w:r>
        <w:rPr>
          <w:vertAlign w:val="subscript"/>
          <w:lang w:val="en-US"/>
        </w:rPr>
        <w:t>mean</w:t>
      </w:r>
      <w:r>
        <w:rPr>
          <w:lang w:val="en-US"/>
        </w:rPr>
        <w:t xml:space="preserve"> (35 PTVs in total).</w:t>
      </w:r>
    </w:p>
    <w:p w:rsidR="005A165D" w:rsidRDefault="005A165D" w:rsidP="005A165D">
      <w:pPr>
        <w:jc w:val="both"/>
        <w:rPr>
          <w:lang w:val="en-US"/>
        </w:rPr>
      </w:pPr>
      <w:r>
        <w:rPr>
          <w:b/>
          <w:lang w:val="en-US"/>
        </w:rPr>
        <w:t>Results</w:t>
      </w:r>
      <w:r>
        <w:rPr>
          <w:lang w:val="en-US"/>
        </w:rPr>
        <w:t>: The Wilcoxon signed-rank test was conducted for each DVH parameter, and showed that there is no statistically significant median difference in target coverage between the pCT and the tCT (p-value &gt; 0.05 for all DVH parameters). For each DVH parameter, the probability density function was estimated and the percentage of values within +/- 2% and +/-3% was calculated from the cumulative density function (Table 1).</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316"/>
        <w:gridCol w:w="1316"/>
        <w:gridCol w:w="1317"/>
        <w:gridCol w:w="1316"/>
        <w:gridCol w:w="1316"/>
        <w:gridCol w:w="1313"/>
      </w:tblGrid>
      <w:tr w:rsidR="005A165D" w:rsidTr="005A165D">
        <w:tc>
          <w:tcPr>
            <w:tcW w:w="1316" w:type="dxa"/>
            <w:tcBorders>
              <w:top w:val="single" w:sz="4" w:space="0" w:color="auto"/>
              <w:left w:val="single" w:sz="4" w:space="0" w:color="auto"/>
              <w:bottom w:val="single" w:sz="4" w:space="0" w:color="auto"/>
              <w:right w:val="single" w:sz="4" w:space="0" w:color="auto"/>
            </w:tcBorders>
            <w:hideMark/>
          </w:tcPr>
          <w:p w:rsidR="005A165D" w:rsidRDefault="005A165D">
            <w:pPr>
              <w:spacing w:after="0" w:line="240" w:lineRule="auto"/>
            </w:pPr>
            <w:r>
              <w:t>Range</w:t>
            </w:r>
          </w:p>
        </w:tc>
        <w:tc>
          <w:tcPr>
            <w:tcW w:w="1316" w:type="dxa"/>
            <w:tcBorders>
              <w:top w:val="single" w:sz="4" w:space="0" w:color="auto"/>
              <w:left w:val="single" w:sz="4" w:space="0" w:color="auto"/>
              <w:bottom w:val="single" w:sz="4" w:space="0" w:color="auto"/>
              <w:right w:val="single" w:sz="4" w:space="0" w:color="auto"/>
            </w:tcBorders>
            <w:hideMark/>
          </w:tcPr>
          <w:p w:rsidR="005A165D" w:rsidRDefault="005A165D">
            <w:pPr>
              <w:spacing w:after="0" w:line="240" w:lineRule="auto"/>
            </w:pPr>
            <w:r>
              <w:t>D</w:t>
            </w:r>
            <w:r>
              <w:rPr>
                <w:vertAlign w:val="subscript"/>
              </w:rPr>
              <w:t>98</w:t>
            </w:r>
          </w:p>
        </w:tc>
        <w:tc>
          <w:tcPr>
            <w:tcW w:w="1316" w:type="dxa"/>
            <w:tcBorders>
              <w:top w:val="single" w:sz="4" w:space="0" w:color="auto"/>
              <w:left w:val="single" w:sz="4" w:space="0" w:color="auto"/>
              <w:bottom w:val="single" w:sz="4" w:space="0" w:color="auto"/>
              <w:right w:val="single" w:sz="4" w:space="0" w:color="auto"/>
            </w:tcBorders>
            <w:hideMark/>
          </w:tcPr>
          <w:p w:rsidR="005A165D" w:rsidRDefault="005A165D">
            <w:pPr>
              <w:spacing w:after="0" w:line="240" w:lineRule="auto"/>
            </w:pPr>
            <w:r>
              <w:t>D</w:t>
            </w:r>
            <w:r>
              <w:rPr>
                <w:vertAlign w:val="subscript"/>
              </w:rPr>
              <w:t>95</w:t>
            </w:r>
          </w:p>
        </w:tc>
        <w:tc>
          <w:tcPr>
            <w:tcW w:w="1317" w:type="dxa"/>
            <w:tcBorders>
              <w:top w:val="single" w:sz="4" w:space="0" w:color="auto"/>
              <w:left w:val="single" w:sz="4" w:space="0" w:color="auto"/>
              <w:bottom w:val="single" w:sz="4" w:space="0" w:color="auto"/>
              <w:right w:val="single" w:sz="4" w:space="0" w:color="auto"/>
            </w:tcBorders>
            <w:hideMark/>
          </w:tcPr>
          <w:p w:rsidR="005A165D" w:rsidRDefault="005A165D">
            <w:pPr>
              <w:spacing w:after="0" w:line="240" w:lineRule="auto"/>
            </w:pPr>
            <w:r>
              <w:t>D</w:t>
            </w:r>
            <w:r>
              <w:rPr>
                <w:vertAlign w:val="subscript"/>
              </w:rPr>
              <w:t>50</w:t>
            </w:r>
          </w:p>
        </w:tc>
        <w:tc>
          <w:tcPr>
            <w:tcW w:w="1316" w:type="dxa"/>
            <w:tcBorders>
              <w:top w:val="single" w:sz="4" w:space="0" w:color="auto"/>
              <w:left w:val="single" w:sz="4" w:space="0" w:color="auto"/>
              <w:bottom w:val="single" w:sz="4" w:space="0" w:color="auto"/>
              <w:right w:val="single" w:sz="4" w:space="0" w:color="auto"/>
            </w:tcBorders>
            <w:hideMark/>
          </w:tcPr>
          <w:p w:rsidR="005A165D" w:rsidRDefault="005A165D">
            <w:pPr>
              <w:spacing w:after="0" w:line="240" w:lineRule="auto"/>
            </w:pPr>
            <w:r>
              <w:t>D</w:t>
            </w:r>
            <w:r>
              <w:rPr>
                <w:vertAlign w:val="subscript"/>
              </w:rPr>
              <w:t>05</w:t>
            </w:r>
          </w:p>
        </w:tc>
        <w:tc>
          <w:tcPr>
            <w:tcW w:w="1316" w:type="dxa"/>
            <w:tcBorders>
              <w:top w:val="single" w:sz="4" w:space="0" w:color="auto"/>
              <w:left w:val="single" w:sz="4" w:space="0" w:color="auto"/>
              <w:bottom w:val="single" w:sz="4" w:space="0" w:color="auto"/>
              <w:right w:val="single" w:sz="4" w:space="0" w:color="auto"/>
            </w:tcBorders>
            <w:hideMark/>
          </w:tcPr>
          <w:p w:rsidR="005A165D" w:rsidRDefault="005A165D">
            <w:pPr>
              <w:spacing w:after="0" w:line="240" w:lineRule="auto"/>
            </w:pPr>
            <w:r>
              <w:t>D</w:t>
            </w:r>
            <w:r>
              <w:rPr>
                <w:vertAlign w:val="subscript"/>
              </w:rPr>
              <w:t>02</w:t>
            </w:r>
          </w:p>
        </w:tc>
        <w:tc>
          <w:tcPr>
            <w:tcW w:w="1313" w:type="dxa"/>
            <w:tcBorders>
              <w:top w:val="single" w:sz="4" w:space="0" w:color="auto"/>
              <w:left w:val="single" w:sz="4" w:space="0" w:color="auto"/>
              <w:bottom w:val="single" w:sz="4" w:space="0" w:color="auto"/>
              <w:right w:val="single" w:sz="4" w:space="0" w:color="auto"/>
            </w:tcBorders>
            <w:hideMark/>
          </w:tcPr>
          <w:p w:rsidR="005A165D" w:rsidRDefault="005A165D">
            <w:pPr>
              <w:spacing w:after="0" w:line="240" w:lineRule="auto"/>
            </w:pPr>
            <w:r>
              <w:t>D</w:t>
            </w:r>
            <w:r>
              <w:rPr>
                <w:vertAlign w:val="subscript"/>
              </w:rPr>
              <w:t>mean</w:t>
            </w:r>
          </w:p>
        </w:tc>
      </w:tr>
      <w:tr w:rsidR="005A165D" w:rsidTr="005A165D">
        <w:tc>
          <w:tcPr>
            <w:tcW w:w="1316" w:type="dxa"/>
            <w:tcBorders>
              <w:top w:val="single" w:sz="4" w:space="0" w:color="auto"/>
              <w:left w:val="single" w:sz="4" w:space="0" w:color="auto"/>
              <w:bottom w:val="single" w:sz="4" w:space="0" w:color="auto"/>
              <w:right w:val="single" w:sz="4" w:space="0" w:color="auto"/>
            </w:tcBorders>
            <w:hideMark/>
          </w:tcPr>
          <w:p w:rsidR="005A165D" w:rsidRDefault="005A165D">
            <w:pPr>
              <w:spacing w:after="0" w:line="240" w:lineRule="auto"/>
            </w:pPr>
            <w:r>
              <w:t>-2%/2%</w:t>
            </w:r>
          </w:p>
        </w:tc>
        <w:tc>
          <w:tcPr>
            <w:tcW w:w="1316" w:type="dxa"/>
            <w:tcBorders>
              <w:top w:val="single" w:sz="4" w:space="0" w:color="auto"/>
              <w:left w:val="single" w:sz="4" w:space="0" w:color="auto"/>
              <w:bottom w:val="single" w:sz="4" w:space="0" w:color="auto"/>
              <w:right w:val="single" w:sz="4" w:space="0" w:color="auto"/>
            </w:tcBorders>
            <w:hideMark/>
          </w:tcPr>
          <w:p w:rsidR="005A165D" w:rsidRDefault="005A165D">
            <w:pPr>
              <w:spacing w:after="0" w:line="240" w:lineRule="auto"/>
            </w:pPr>
            <w:r>
              <w:t>74%</w:t>
            </w:r>
          </w:p>
        </w:tc>
        <w:tc>
          <w:tcPr>
            <w:tcW w:w="1316" w:type="dxa"/>
            <w:tcBorders>
              <w:top w:val="single" w:sz="4" w:space="0" w:color="auto"/>
              <w:left w:val="single" w:sz="4" w:space="0" w:color="auto"/>
              <w:bottom w:val="single" w:sz="4" w:space="0" w:color="auto"/>
              <w:right w:val="single" w:sz="4" w:space="0" w:color="auto"/>
            </w:tcBorders>
            <w:hideMark/>
          </w:tcPr>
          <w:p w:rsidR="005A165D" w:rsidRDefault="005A165D">
            <w:pPr>
              <w:spacing w:after="0" w:line="240" w:lineRule="auto"/>
            </w:pPr>
            <w:r>
              <w:t>75%</w:t>
            </w:r>
          </w:p>
        </w:tc>
        <w:tc>
          <w:tcPr>
            <w:tcW w:w="1317" w:type="dxa"/>
            <w:tcBorders>
              <w:top w:val="single" w:sz="4" w:space="0" w:color="auto"/>
              <w:left w:val="single" w:sz="4" w:space="0" w:color="auto"/>
              <w:bottom w:val="single" w:sz="4" w:space="0" w:color="auto"/>
              <w:right w:val="single" w:sz="4" w:space="0" w:color="auto"/>
            </w:tcBorders>
            <w:hideMark/>
          </w:tcPr>
          <w:p w:rsidR="005A165D" w:rsidRDefault="005A165D">
            <w:pPr>
              <w:spacing w:after="0" w:line="240" w:lineRule="auto"/>
            </w:pPr>
            <w:r>
              <w:t>87%</w:t>
            </w:r>
          </w:p>
        </w:tc>
        <w:tc>
          <w:tcPr>
            <w:tcW w:w="1316" w:type="dxa"/>
            <w:tcBorders>
              <w:top w:val="single" w:sz="4" w:space="0" w:color="auto"/>
              <w:left w:val="single" w:sz="4" w:space="0" w:color="auto"/>
              <w:bottom w:val="single" w:sz="4" w:space="0" w:color="auto"/>
              <w:right w:val="single" w:sz="4" w:space="0" w:color="auto"/>
            </w:tcBorders>
            <w:hideMark/>
          </w:tcPr>
          <w:p w:rsidR="005A165D" w:rsidRDefault="005A165D">
            <w:pPr>
              <w:spacing w:after="0" w:line="240" w:lineRule="auto"/>
            </w:pPr>
            <w:r>
              <w:t>81%</w:t>
            </w:r>
          </w:p>
        </w:tc>
        <w:tc>
          <w:tcPr>
            <w:tcW w:w="1316" w:type="dxa"/>
            <w:tcBorders>
              <w:top w:val="single" w:sz="4" w:space="0" w:color="auto"/>
              <w:left w:val="single" w:sz="4" w:space="0" w:color="auto"/>
              <w:bottom w:val="single" w:sz="4" w:space="0" w:color="auto"/>
              <w:right w:val="single" w:sz="4" w:space="0" w:color="auto"/>
            </w:tcBorders>
            <w:hideMark/>
          </w:tcPr>
          <w:p w:rsidR="005A165D" w:rsidRDefault="005A165D">
            <w:pPr>
              <w:spacing w:after="0" w:line="240" w:lineRule="auto"/>
            </w:pPr>
            <w:r>
              <w:t>83%</w:t>
            </w:r>
          </w:p>
        </w:tc>
        <w:tc>
          <w:tcPr>
            <w:tcW w:w="1313" w:type="dxa"/>
            <w:tcBorders>
              <w:top w:val="single" w:sz="4" w:space="0" w:color="auto"/>
              <w:left w:val="single" w:sz="4" w:space="0" w:color="auto"/>
              <w:bottom w:val="single" w:sz="4" w:space="0" w:color="auto"/>
              <w:right w:val="single" w:sz="4" w:space="0" w:color="auto"/>
            </w:tcBorders>
            <w:hideMark/>
          </w:tcPr>
          <w:p w:rsidR="005A165D" w:rsidRDefault="005A165D">
            <w:pPr>
              <w:spacing w:after="0" w:line="240" w:lineRule="auto"/>
            </w:pPr>
            <w:r>
              <w:t>85%</w:t>
            </w:r>
          </w:p>
        </w:tc>
      </w:tr>
      <w:tr w:rsidR="005A165D" w:rsidTr="005A165D">
        <w:tc>
          <w:tcPr>
            <w:tcW w:w="1316" w:type="dxa"/>
            <w:tcBorders>
              <w:top w:val="single" w:sz="4" w:space="0" w:color="auto"/>
              <w:left w:val="single" w:sz="4" w:space="0" w:color="auto"/>
              <w:bottom w:val="single" w:sz="4" w:space="0" w:color="auto"/>
              <w:right w:val="single" w:sz="4" w:space="0" w:color="auto"/>
            </w:tcBorders>
            <w:hideMark/>
          </w:tcPr>
          <w:p w:rsidR="005A165D" w:rsidRDefault="005A165D">
            <w:pPr>
              <w:spacing w:after="0" w:line="240" w:lineRule="auto"/>
            </w:pPr>
            <w:r>
              <w:t>-3%/3%</w:t>
            </w:r>
          </w:p>
        </w:tc>
        <w:tc>
          <w:tcPr>
            <w:tcW w:w="1316" w:type="dxa"/>
            <w:tcBorders>
              <w:top w:val="single" w:sz="4" w:space="0" w:color="auto"/>
              <w:left w:val="single" w:sz="4" w:space="0" w:color="auto"/>
              <w:bottom w:val="single" w:sz="4" w:space="0" w:color="auto"/>
              <w:right w:val="single" w:sz="4" w:space="0" w:color="auto"/>
            </w:tcBorders>
            <w:hideMark/>
          </w:tcPr>
          <w:p w:rsidR="005A165D" w:rsidRDefault="005A165D">
            <w:pPr>
              <w:spacing w:after="0" w:line="240" w:lineRule="auto"/>
            </w:pPr>
            <w:r>
              <w:t>89%</w:t>
            </w:r>
          </w:p>
        </w:tc>
        <w:tc>
          <w:tcPr>
            <w:tcW w:w="1316" w:type="dxa"/>
            <w:tcBorders>
              <w:top w:val="single" w:sz="4" w:space="0" w:color="auto"/>
              <w:left w:val="single" w:sz="4" w:space="0" w:color="auto"/>
              <w:bottom w:val="single" w:sz="4" w:space="0" w:color="auto"/>
              <w:right w:val="single" w:sz="4" w:space="0" w:color="auto"/>
            </w:tcBorders>
            <w:hideMark/>
          </w:tcPr>
          <w:p w:rsidR="005A165D" w:rsidRDefault="005A165D">
            <w:pPr>
              <w:spacing w:after="0" w:line="240" w:lineRule="auto"/>
            </w:pPr>
            <w:r>
              <w:t>90%</w:t>
            </w:r>
          </w:p>
        </w:tc>
        <w:tc>
          <w:tcPr>
            <w:tcW w:w="1317" w:type="dxa"/>
            <w:tcBorders>
              <w:top w:val="single" w:sz="4" w:space="0" w:color="auto"/>
              <w:left w:val="single" w:sz="4" w:space="0" w:color="auto"/>
              <w:bottom w:val="single" w:sz="4" w:space="0" w:color="auto"/>
              <w:right w:val="single" w:sz="4" w:space="0" w:color="auto"/>
            </w:tcBorders>
            <w:hideMark/>
          </w:tcPr>
          <w:p w:rsidR="005A165D" w:rsidRDefault="005A165D">
            <w:pPr>
              <w:spacing w:after="0" w:line="240" w:lineRule="auto"/>
            </w:pPr>
            <w:r>
              <w:t>99%</w:t>
            </w:r>
          </w:p>
        </w:tc>
        <w:tc>
          <w:tcPr>
            <w:tcW w:w="1316" w:type="dxa"/>
            <w:tcBorders>
              <w:top w:val="single" w:sz="4" w:space="0" w:color="auto"/>
              <w:left w:val="single" w:sz="4" w:space="0" w:color="auto"/>
              <w:bottom w:val="single" w:sz="4" w:space="0" w:color="auto"/>
              <w:right w:val="single" w:sz="4" w:space="0" w:color="auto"/>
            </w:tcBorders>
            <w:hideMark/>
          </w:tcPr>
          <w:p w:rsidR="005A165D" w:rsidRDefault="005A165D">
            <w:pPr>
              <w:spacing w:after="0" w:line="240" w:lineRule="auto"/>
            </w:pPr>
            <w:r>
              <w:t>97%</w:t>
            </w:r>
          </w:p>
        </w:tc>
        <w:tc>
          <w:tcPr>
            <w:tcW w:w="1316" w:type="dxa"/>
            <w:tcBorders>
              <w:top w:val="single" w:sz="4" w:space="0" w:color="auto"/>
              <w:left w:val="single" w:sz="4" w:space="0" w:color="auto"/>
              <w:bottom w:val="single" w:sz="4" w:space="0" w:color="auto"/>
              <w:right w:val="single" w:sz="4" w:space="0" w:color="auto"/>
            </w:tcBorders>
            <w:hideMark/>
          </w:tcPr>
          <w:p w:rsidR="005A165D" w:rsidRDefault="005A165D">
            <w:pPr>
              <w:spacing w:after="0" w:line="240" w:lineRule="auto"/>
            </w:pPr>
            <w:r>
              <w:t>97%</w:t>
            </w:r>
          </w:p>
        </w:tc>
        <w:tc>
          <w:tcPr>
            <w:tcW w:w="1313" w:type="dxa"/>
            <w:tcBorders>
              <w:top w:val="single" w:sz="4" w:space="0" w:color="auto"/>
              <w:left w:val="single" w:sz="4" w:space="0" w:color="auto"/>
              <w:bottom w:val="single" w:sz="4" w:space="0" w:color="auto"/>
              <w:right w:val="single" w:sz="4" w:space="0" w:color="auto"/>
            </w:tcBorders>
            <w:hideMark/>
          </w:tcPr>
          <w:p w:rsidR="005A165D" w:rsidRDefault="005A165D">
            <w:pPr>
              <w:spacing w:after="0" w:line="240" w:lineRule="auto"/>
            </w:pPr>
            <w:r>
              <w:t>98%</w:t>
            </w:r>
          </w:p>
        </w:tc>
      </w:tr>
    </w:tbl>
    <w:p w:rsidR="005A165D" w:rsidRDefault="005A165D" w:rsidP="005A165D">
      <w:pPr>
        <w:rPr>
          <w:lang w:val="en-US"/>
        </w:rPr>
      </w:pPr>
      <w:r>
        <w:rPr>
          <w:lang w:val="en-US"/>
        </w:rPr>
        <w:t xml:space="preserve">Table 1: Percentage of tCT/pCT relative dose difference values that fall within +/- 2% and +/- 3% for each DVH parameter. </w:t>
      </w:r>
    </w:p>
    <w:p w:rsidR="005A165D" w:rsidRDefault="005A165D" w:rsidP="005A165D">
      <w:pPr>
        <w:jc w:val="both"/>
        <w:rPr>
          <w:lang w:val="en-US"/>
        </w:rPr>
      </w:pPr>
      <w:r>
        <w:rPr>
          <w:b/>
          <w:lang w:val="en-US"/>
        </w:rPr>
        <w:t>Conclusions</w:t>
      </w:r>
      <w:r>
        <w:rPr>
          <w:lang w:val="en-US"/>
        </w:rPr>
        <w:t>: The proposed atlas-based pCT construction method was assessed on a dosimetric basis. We found that the percentage of relative dose differences between the pCT and the tCT within +/-3% was higher than 97% for D</w:t>
      </w:r>
      <w:r>
        <w:rPr>
          <w:vertAlign w:val="subscript"/>
          <w:lang w:val="en-US"/>
        </w:rPr>
        <w:t>50</w:t>
      </w:r>
      <w:r>
        <w:rPr>
          <w:lang w:val="en-US"/>
        </w:rPr>
        <w:t>, D</w:t>
      </w:r>
      <w:r>
        <w:rPr>
          <w:vertAlign w:val="subscript"/>
          <w:lang w:val="en-US"/>
        </w:rPr>
        <w:t>05</w:t>
      </w:r>
      <w:r>
        <w:rPr>
          <w:lang w:val="en-US"/>
        </w:rPr>
        <w:t>, D</w:t>
      </w:r>
      <w:r>
        <w:rPr>
          <w:vertAlign w:val="subscript"/>
          <w:lang w:val="en-US"/>
        </w:rPr>
        <w:t>02</w:t>
      </w:r>
      <w:r>
        <w:rPr>
          <w:lang w:val="en-US"/>
        </w:rPr>
        <w:t xml:space="preserve"> and D</w:t>
      </w:r>
      <w:r>
        <w:rPr>
          <w:vertAlign w:val="subscript"/>
          <w:lang w:val="en-US"/>
        </w:rPr>
        <w:t>mean</w:t>
      </w:r>
      <w:r>
        <w:rPr>
          <w:lang w:val="en-US"/>
        </w:rPr>
        <w:t xml:space="preserve"> parameters, and higher than 89% for D</w:t>
      </w:r>
      <w:r>
        <w:rPr>
          <w:vertAlign w:val="subscript"/>
          <w:lang w:val="en-US"/>
        </w:rPr>
        <w:t>98</w:t>
      </w:r>
      <w:r>
        <w:rPr>
          <w:lang w:val="en-US"/>
        </w:rPr>
        <w:t xml:space="preserve"> and D</w:t>
      </w:r>
      <w:r>
        <w:rPr>
          <w:vertAlign w:val="subscript"/>
          <w:lang w:val="en-US"/>
        </w:rPr>
        <w:t>95</w:t>
      </w:r>
      <w:r>
        <w:rPr>
          <w:lang w:val="en-US"/>
        </w:rPr>
        <w:t xml:space="preserve"> due to wider difference distributions. Our study showed promising results which</w:t>
      </w:r>
      <w:r>
        <w:rPr>
          <w:lang w:val="en-US"/>
        </w:rPr>
        <w:t xml:space="preserve"> </w:t>
      </w:r>
      <w:r>
        <w:rPr>
          <w:lang w:val="en-US"/>
        </w:rPr>
        <w:t>favor the use of the proposed method in clinical routine and a study on its transfer to other anatomical locations</w:t>
      </w:r>
      <w:bookmarkStart w:id="0" w:name="_GoBack"/>
      <w:bookmarkEnd w:id="0"/>
      <w:r>
        <w:rPr>
          <w:lang w:val="en-US"/>
        </w:rPr>
        <w:t>.</w:t>
      </w:r>
    </w:p>
    <w:p w:rsidR="005A165D" w:rsidRDefault="005A165D" w:rsidP="005A165D">
      <w:r>
        <w:rPr>
          <w:b/>
          <w:bCs/>
        </w:rPr>
        <w:t>Reference:</w:t>
      </w:r>
    </w:p>
    <w:p w:rsidR="005A165D" w:rsidRDefault="005A165D" w:rsidP="005A165D">
      <w:r>
        <w:t xml:space="preserve">[1] M. Gudur et al. </w:t>
      </w:r>
      <w:r>
        <w:rPr>
          <w:lang w:val="en-US"/>
        </w:rPr>
        <w:t>A unifying probabilistic Bayesian approach to derive electron density from MRI for radiation therapy treatment planning. Phys. Med. Biol. 2014; 59(21):6595-6606</w:t>
      </w:r>
    </w:p>
    <w:p w:rsidR="004D1AFB" w:rsidRPr="005A165D" w:rsidRDefault="004D1AFB" w:rsidP="005A165D"/>
    <w:sectPr w:rsidR="004D1AFB" w:rsidRPr="005A1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14"/>
    <w:rsid w:val="004D1AFB"/>
    <w:rsid w:val="00555114"/>
    <w:rsid w:val="005A1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94730-5D8B-4983-85D1-EAF3C661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65D"/>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5A165D"/>
    <w:rPr>
      <w:sz w:val="20"/>
      <w:szCs w:val="20"/>
    </w:rPr>
  </w:style>
  <w:style w:type="character" w:customStyle="1" w:styleId="CommentaireCar">
    <w:name w:val="Commentaire Car"/>
    <w:basedOn w:val="Policepardfaut"/>
    <w:link w:val="Commentaire"/>
    <w:uiPriority w:val="99"/>
    <w:semiHidden/>
    <w:rsid w:val="005A165D"/>
    <w:rPr>
      <w:rFonts w:ascii="Calibri" w:eastAsia="Calibri" w:hAnsi="Calibri" w:cs="Times New Roman"/>
      <w:sz w:val="20"/>
      <w:szCs w:val="20"/>
    </w:rPr>
  </w:style>
  <w:style w:type="character" w:styleId="Marquedecommentaire">
    <w:name w:val="annotation reference"/>
    <w:basedOn w:val="Policepardfaut"/>
    <w:uiPriority w:val="99"/>
    <w:semiHidden/>
    <w:unhideWhenUsed/>
    <w:rsid w:val="005A165D"/>
    <w:rPr>
      <w:sz w:val="16"/>
      <w:szCs w:val="16"/>
    </w:rPr>
  </w:style>
  <w:style w:type="paragraph" w:styleId="Textedebulles">
    <w:name w:val="Balloon Text"/>
    <w:basedOn w:val="Normal"/>
    <w:link w:val="TextedebullesCar"/>
    <w:uiPriority w:val="99"/>
    <w:semiHidden/>
    <w:unhideWhenUsed/>
    <w:rsid w:val="005A16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165D"/>
    <w:rPr>
      <w:rFonts w:ascii="Segoe UI" w:eastAsia="Calibri" w:hAnsi="Segoe UI" w:cs="Segoe UI"/>
      <w:sz w:val="18"/>
      <w:szCs w:val="18"/>
    </w:rPr>
  </w:style>
  <w:style w:type="paragraph" w:styleId="Rvision">
    <w:name w:val="Revision"/>
    <w:hidden/>
    <w:uiPriority w:val="99"/>
    <w:semiHidden/>
    <w:rsid w:val="005A165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8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450</Words>
  <Characters>2477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Demol</dc:creator>
  <cp:keywords/>
  <dc:description/>
  <cp:lastModifiedBy>Benjamin Demol</cp:lastModifiedBy>
  <cp:revision>1</cp:revision>
  <dcterms:created xsi:type="dcterms:W3CDTF">2016-03-30T15:41:00Z</dcterms:created>
  <dcterms:modified xsi:type="dcterms:W3CDTF">2016-03-30T15:53:00Z</dcterms:modified>
</cp:coreProperties>
</file>