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49" w:rsidRPr="006F3DC7" w:rsidRDefault="00805849" w:rsidP="002E5B7A">
      <w:pPr>
        <w:pStyle w:val="Textebrut"/>
        <w:jc w:val="center"/>
        <w:rPr>
          <w:b/>
          <w:lang w:val="en-US"/>
        </w:rPr>
      </w:pPr>
      <w:r>
        <w:rPr>
          <w:b/>
          <w:lang w:val="en-US"/>
        </w:rPr>
        <w:t>Evaluation</w:t>
      </w:r>
      <w:r w:rsidRPr="006F3DC7">
        <w:rPr>
          <w:b/>
          <w:lang w:val="en-US"/>
        </w:rPr>
        <w:t xml:space="preserve"> of the</w:t>
      </w:r>
      <w:r>
        <w:rPr>
          <w:b/>
          <w:lang w:val="en-US"/>
        </w:rPr>
        <w:t xml:space="preserve"> </w:t>
      </w:r>
      <w:r w:rsidRPr="006F3DC7">
        <w:rPr>
          <w:b/>
          <w:lang w:val="en-US"/>
        </w:rPr>
        <w:t>Incise2</w:t>
      </w:r>
      <w:r w:rsidRPr="00596110">
        <w:rPr>
          <w:lang w:val="en-US"/>
        </w:rPr>
        <w:t>™</w:t>
      </w:r>
      <w:r w:rsidRPr="006F3DC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</w:t>
      </w:r>
      <w:r w:rsidRPr="006F3DC7">
        <w:rPr>
          <w:b/>
          <w:lang w:val="en-US"/>
        </w:rPr>
        <w:t>ulti</w:t>
      </w:r>
      <w:r>
        <w:rPr>
          <w:b/>
          <w:lang w:val="en-US"/>
        </w:rPr>
        <w:t>l</w:t>
      </w:r>
      <w:r w:rsidRPr="006F3DC7">
        <w:rPr>
          <w:b/>
          <w:lang w:val="en-US"/>
        </w:rPr>
        <w:t>eaf</w:t>
      </w:r>
      <w:proofErr w:type="spellEnd"/>
      <w:r w:rsidRPr="006F3DC7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Pr="006F3DC7">
        <w:rPr>
          <w:b/>
          <w:lang w:val="en-US"/>
        </w:rPr>
        <w:t>ollimato</w:t>
      </w:r>
      <w:r>
        <w:rPr>
          <w:b/>
          <w:lang w:val="en-US"/>
        </w:rPr>
        <w:t xml:space="preserve">r for stereotactic radiotherapy on </w:t>
      </w:r>
      <w:proofErr w:type="spellStart"/>
      <w:r w:rsidRPr="006F3DC7">
        <w:rPr>
          <w:b/>
          <w:lang w:val="en-US"/>
        </w:rPr>
        <w:t>Cyberknife</w:t>
      </w:r>
      <w:proofErr w:type="spellEnd"/>
      <w:r w:rsidRPr="006F3DC7">
        <w:rPr>
          <w:b/>
          <w:lang w:val="en-US"/>
        </w:rPr>
        <w:t>®</w:t>
      </w:r>
    </w:p>
    <w:p w:rsidR="00805849" w:rsidRPr="00EB5C89" w:rsidRDefault="00805849" w:rsidP="00805849">
      <w:pPr>
        <w:pStyle w:val="Textebrut"/>
        <w:rPr>
          <w:lang w:val="en-US"/>
        </w:rPr>
      </w:pPr>
    </w:p>
    <w:p w:rsidR="00805849" w:rsidRDefault="00805849" w:rsidP="00805849">
      <w:pPr>
        <w:pStyle w:val="Textebrut"/>
        <w:jc w:val="center"/>
        <w:rPr>
          <w:vertAlign w:val="superscript"/>
        </w:rPr>
      </w:pPr>
      <w:r>
        <w:t>J. Bellec</w:t>
      </w:r>
      <w:r w:rsidR="00A4739B" w:rsidRPr="00A4739B">
        <w:rPr>
          <w:vertAlign w:val="superscript"/>
        </w:rPr>
        <w:t>1</w:t>
      </w:r>
      <w:r>
        <w:t>, C. Limoges</w:t>
      </w:r>
      <w:r w:rsidR="00A4739B" w:rsidRPr="00A4739B">
        <w:rPr>
          <w:vertAlign w:val="superscript"/>
        </w:rPr>
        <w:t>1</w:t>
      </w:r>
      <w:r>
        <w:t>, N. Delaby</w:t>
      </w:r>
      <w:r w:rsidR="00A4739B" w:rsidRPr="00A4739B">
        <w:rPr>
          <w:vertAlign w:val="superscript"/>
        </w:rPr>
        <w:t>1</w:t>
      </w:r>
      <w:r>
        <w:t>, M. Perdrieux</w:t>
      </w:r>
      <w:r w:rsidR="00A4739B" w:rsidRPr="00A4739B">
        <w:rPr>
          <w:vertAlign w:val="superscript"/>
        </w:rPr>
        <w:t>1</w:t>
      </w:r>
      <w:r>
        <w:t>, F. Jouyaux</w:t>
      </w:r>
      <w:r w:rsidR="00A4739B" w:rsidRPr="00A4739B">
        <w:rPr>
          <w:vertAlign w:val="superscript"/>
        </w:rPr>
        <w:t>1</w:t>
      </w:r>
      <w:r>
        <w:t>, C. Lafond</w:t>
      </w:r>
      <w:r w:rsidR="00A4739B" w:rsidRPr="00A4739B">
        <w:rPr>
          <w:vertAlign w:val="superscript"/>
        </w:rPr>
        <w:t>1</w:t>
      </w:r>
      <w:proofErr w:type="gramStart"/>
      <w:r w:rsidR="00A4739B">
        <w:rPr>
          <w:vertAlign w:val="superscript"/>
        </w:rPr>
        <w:t>,2</w:t>
      </w:r>
      <w:r w:rsidR="00740BF9">
        <w:rPr>
          <w:vertAlign w:val="superscript"/>
        </w:rPr>
        <w:t>,3</w:t>
      </w:r>
      <w:proofErr w:type="gramEnd"/>
    </w:p>
    <w:p w:rsidR="00740BF9" w:rsidRPr="002E5B7A" w:rsidRDefault="00740BF9" w:rsidP="00740BF9">
      <w:pPr>
        <w:pStyle w:val="Textebrut"/>
        <w:rPr>
          <w:sz w:val="18"/>
          <w:szCs w:val="18"/>
        </w:rPr>
      </w:pPr>
    </w:p>
    <w:p w:rsidR="00E77A8E" w:rsidRPr="002E5B7A" w:rsidRDefault="002E5B7A" w:rsidP="002E5B7A">
      <w:pPr>
        <w:spacing w:line="259" w:lineRule="auto"/>
        <w:jc w:val="center"/>
        <w:rPr>
          <w:rFonts w:ascii="Calibri" w:hAnsi="Calibri"/>
          <w:sz w:val="18"/>
          <w:szCs w:val="18"/>
        </w:rPr>
      </w:pPr>
      <w:r w:rsidRPr="002E5B7A">
        <w:rPr>
          <w:rFonts w:ascii="Calibri" w:hAnsi="Calibri"/>
          <w:sz w:val="18"/>
          <w:szCs w:val="18"/>
        </w:rPr>
        <w:t>1 - Centre Eugene Marquis</w:t>
      </w:r>
      <w:r w:rsidR="00E77A8E" w:rsidRPr="002E5B7A">
        <w:rPr>
          <w:rFonts w:ascii="Calibri" w:hAnsi="Calibri"/>
          <w:sz w:val="18"/>
          <w:szCs w:val="18"/>
        </w:rPr>
        <w:t>, Rennes, France.</w:t>
      </w:r>
    </w:p>
    <w:p w:rsidR="00E77A8E" w:rsidRPr="002E5B7A" w:rsidRDefault="00E77A8E" w:rsidP="002E5B7A">
      <w:pPr>
        <w:spacing w:line="259" w:lineRule="auto"/>
        <w:jc w:val="center"/>
        <w:rPr>
          <w:rFonts w:ascii="Calibri" w:hAnsi="Calibri"/>
          <w:sz w:val="18"/>
          <w:szCs w:val="18"/>
        </w:rPr>
      </w:pPr>
      <w:r w:rsidRPr="002E5B7A">
        <w:rPr>
          <w:rFonts w:ascii="Calibri" w:hAnsi="Calibri"/>
          <w:sz w:val="18"/>
          <w:szCs w:val="18"/>
        </w:rPr>
        <w:t>2 - INSERM, U 1099, Rennes, France.</w:t>
      </w:r>
    </w:p>
    <w:p w:rsidR="00E77A8E" w:rsidRPr="002E5B7A" w:rsidRDefault="00E77A8E" w:rsidP="002E5B7A">
      <w:pPr>
        <w:spacing w:line="259" w:lineRule="auto"/>
        <w:jc w:val="center"/>
        <w:rPr>
          <w:rFonts w:ascii="Calibri" w:hAnsi="Calibri"/>
          <w:sz w:val="18"/>
          <w:szCs w:val="18"/>
        </w:rPr>
      </w:pPr>
      <w:r w:rsidRPr="002E5B7A">
        <w:rPr>
          <w:rFonts w:ascii="Calibri" w:hAnsi="Calibri"/>
          <w:sz w:val="18"/>
          <w:szCs w:val="18"/>
        </w:rPr>
        <w:t xml:space="preserve">3 - </w:t>
      </w:r>
      <w:proofErr w:type="spellStart"/>
      <w:r w:rsidRPr="002E5B7A">
        <w:rPr>
          <w:rFonts w:ascii="Calibri" w:hAnsi="Calibri"/>
          <w:sz w:val="18"/>
          <w:szCs w:val="18"/>
        </w:rPr>
        <w:t>University</w:t>
      </w:r>
      <w:proofErr w:type="spellEnd"/>
      <w:r w:rsidRPr="002E5B7A">
        <w:rPr>
          <w:rFonts w:ascii="Calibri" w:hAnsi="Calibri"/>
          <w:sz w:val="18"/>
          <w:szCs w:val="18"/>
        </w:rPr>
        <w:t xml:space="preserve"> Rennes 1, LTSI, Rennes, France.</w:t>
      </w:r>
    </w:p>
    <w:p w:rsidR="00805849" w:rsidRPr="002E5B7A" w:rsidRDefault="00805849" w:rsidP="00805849">
      <w:pPr>
        <w:pStyle w:val="Textebrut"/>
        <w:jc w:val="both"/>
        <w:rPr>
          <w:b/>
          <w:sz w:val="20"/>
          <w:szCs w:val="20"/>
          <w:lang w:val="en-US"/>
        </w:rPr>
      </w:pPr>
      <w:r w:rsidRPr="002E5B7A">
        <w:rPr>
          <w:b/>
          <w:sz w:val="20"/>
          <w:szCs w:val="20"/>
          <w:lang w:val="en-US"/>
        </w:rPr>
        <w:t xml:space="preserve">Introduction: </w:t>
      </w:r>
      <w:r w:rsidRPr="002E5B7A">
        <w:rPr>
          <w:color w:val="000000"/>
          <w:sz w:val="20"/>
          <w:szCs w:val="20"/>
          <w:lang w:val="en-US"/>
        </w:rPr>
        <w:t xml:space="preserve">The </w:t>
      </w:r>
      <w:proofErr w:type="spellStart"/>
      <w:r w:rsidRPr="002E5B7A">
        <w:rPr>
          <w:color w:val="000000"/>
          <w:sz w:val="20"/>
          <w:szCs w:val="20"/>
          <w:lang w:val="en-US"/>
        </w:rPr>
        <w:t>CyberKnife</w:t>
      </w:r>
      <w:proofErr w:type="spellEnd"/>
      <w:r w:rsidRPr="002E5B7A">
        <w:rPr>
          <w:sz w:val="20"/>
          <w:szCs w:val="20"/>
          <w:lang w:val="en-US"/>
        </w:rPr>
        <w:t>®</w:t>
      </w:r>
      <w:r w:rsidRPr="002E5B7A">
        <w:rPr>
          <w:color w:val="000000"/>
          <w:sz w:val="20"/>
          <w:szCs w:val="20"/>
          <w:lang w:val="en-US"/>
        </w:rPr>
        <w:t xml:space="preserve"> (</w:t>
      </w:r>
      <w:proofErr w:type="spellStart"/>
      <w:r w:rsidRPr="002E5B7A">
        <w:rPr>
          <w:color w:val="000000"/>
          <w:sz w:val="20"/>
          <w:szCs w:val="20"/>
          <w:lang w:val="en-US"/>
        </w:rPr>
        <w:t>Accuray</w:t>
      </w:r>
      <w:proofErr w:type="spellEnd"/>
      <w:r w:rsidRPr="002E5B7A">
        <w:rPr>
          <w:color w:val="000000"/>
          <w:sz w:val="20"/>
          <w:szCs w:val="20"/>
          <w:lang w:val="en-US"/>
        </w:rPr>
        <w:t xml:space="preserve">) is a stereotactic robotic system using historically circular collimators to define the beam apertures. A new </w:t>
      </w:r>
      <w:proofErr w:type="spellStart"/>
      <w:r w:rsidRPr="002E5B7A">
        <w:rPr>
          <w:sz w:val="20"/>
          <w:szCs w:val="20"/>
          <w:lang w:val="en-US"/>
        </w:rPr>
        <w:t>multileaf</w:t>
      </w:r>
      <w:proofErr w:type="spellEnd"/>
      <w:r w:rsidRPr="002E5B7A">
        <w:rPr>
          <w:sz w:val="20"/>
          <w:szCs w:val="20"/>
          <w:lang w:val="en-US"/>
        </w:rPr>
        <w:t xml:space="preserve"> collimator (MLC) is now available on the </w:t>
      </w:r>
      <w:proofErr w:type="spellStart"/>
      <w:r w:rsidRPr="002E5B7A">
        <w:rPr>
          <w:sz w:val="20"/>
          <w:szCs w:val="20"/>
          <w:lang w:val="en-US"/>
        </w:rPr>
        <w:t>Cyberknife</w:t>
      </w:r>
      <w:proofErr w:type="spellEnd"/>
      <w:r w:rsidRPr="002E5B7A">
        <w:rPr>
          <w:sz w:val="20"/>
          <w:szCs w:val="20"/>
          <w:lang w:val="en-US"/>
        </w:rPr>
        <w:t xml:space="preserve">® M6 version. The purpose of this study was to evaluate the quality of </w:t>
      </w:r>
      <w:r w:rsidRPr="002E5B7A">
        <w:rPr>
          <w:bCs/>
          <w:sz w:val="20"/>
          <w:szCs w:val="20"/>
          <w:lang w:val="en-US"/>
        </w:rPr>
        <w:t>treatment plans using MLC compared to treatment plans using a variable circular aperture collimator IRIS</w:t>
      </w:r>
      <w:r w:rsidRPr="002E5B7A">
        <w:rPr>
          <w:sz w:val="20"/>
          <w:szCs w:val="20"/>
          <w:lang w:val="en-US"/>
        </w:rPr>
        <w:t>™ for radiosurgery (SRS) and stereotactic body radiotherapy (SBRT).</w:t>
      </w:r>
    </w:p>
    <w:p w:rsidR="002E5B7A" w:rsidRPr="002E5B7A" w:rsidRDefault="002E5B7A" w:rsidP="00805849">
      <w:pPr>
        <w:pStyle w:val="Textebrut"/>
        <w:jc w:val="both"/>
        <w:rPr>
          <w:sz w:val="20"/>
          <w:szCs w:val="20"/>
          <w:lang w:val="en-US"/>
        </w:rPr>
      </w:pPr>
    </w:p>
    <w:p w:rsidR="00805849" w:rsidRPr="002E5B7A" w:rsidRDefault="00805849" w:rsidP="002E5B7A">
      <w:pPr>
        <w:pStyle w:val="Textebrut"/>
        <w:jc w:val="both"/>
        <w:rPr>
          <w:sz w:val="20"/>
          <w:szCs w:val="20"/>
          <w:lang w:val="en-US"/>
        </w:rPr>
      </w:pPr>
      <w:r w:rsidRPr="002E5B7A">
        <w:rPr>
          <w:b/>
          <w:sz w:val="20"/>
          <w:szCs w:val="20"/>
          <w:lang w:val="en-US"/>
        </w:rPr>
        <w:t xml:space="preserve">Methods: </w:t>
      </w:r>
      <w:r w:rsidRPr="002E5B7A">
        <w:rPr>
          <w:color w:val="000000"/>
          <w:sz w:val="20"/>
          <w:szCs w:val="20"/>
          <w:lang w:val="en-US"/>
        </w:rPr>
        <w:t xml:space="preserve">The study was performed on a </w:t>
      </w:r>
      <w:proofErr w:type="spellStart"/>
      <w:r w:rsidRPr="002E5B7A">
        <w:rPr>
          <w:sz w:val="20"/>
          <w:szCs w:val="20"/>
          <w:lang w:val="en-US"/>
        </w:rPr>
        <w:t>Cyberknife</w:t>
      </w:r>
      <w:proofErr w:type="spellEnd"/>
      <w:r w:rsidRPr="002E5B7A">
        <w:rPr>
          <w:sz w:val="20"/>
          <w:szCs w:val="20"/>
          <w:lang w:val="en-US"/>
        </w:rPr>
        <w:t xml:space="preserve">® M6™ v10.6. </w:t>
      </w:r>
      <w:r w:rsidRPr="002E5B7A">
        <w:rPr>
          <w:color w:val="000000"/>
          <w:sz w:val="20"/>
          <w:szCs w:val="20"/>
          <w:lang w:val="en-US"/>
        </w:rPr>
        <w:t xml:space="preserve">A total of 17 cases including </w:t>
      </w:r>
      <w:r w:rsidRPr="002E5B7A">
        <w:rPr>
          <w:bCs/>
          <w:sz w:val="20"/>
          <w:szCs w:val="20"/>
          <w:lang w:val="en-US"/>
        </w:rPr>
        <w:t>cranial, liver, spinal and prostatic cases were investigated</w:t>
      </w:r>
      <w:r w:rsidRPr="002E5B7A">
        <w:rPr>
          <w:sz w:val="20"/>
          <w:szCs w:val="20"/>
          <w:lang w:val="en-US"/>
        </w:rPr>
        <w:t xml:space="preserve">. For each case, two treatment plans were generated with Multiplan® v5.3 treatment planning system: one plan using the Incise2™ MLC associated with the Finite Size Pencil Beam (FSPB) dose calculation algorithm and  one using the IRIS™ collimator associated with Ray Tracing or Monte Carlo dose calculation algorithm. The dose was prescribed near the 80 % </w:t>
      </w:r>
      <w:proofErr w:type="spellStart"/>
      <w:r w:rsidRPr="002E5B7A">
        <w:rPr>
          <w:sz w:val="20"/>
          <w:szCs w:val="20"/>
          <w:lang w:val="en-US"/>
        </w:rPr>
        <w:t>isodose</w:t>
      </w:r>
      <w:proofErr w:type="spellEnd"/>
      <w:r w:rsidRPr="002E5B7A">
        <w:rPr>
          <w:sz w:val="20"/>
          <w:szCs w:val="20"/>
          <w:lang w:val="en-US"/>
        </w:rPr>
        <w:t xml:space="preserve"> level</w:t>
      </w:r>
      <w:r w:rsidR="001C5116" w:rsidRPr="002E5B7A">
        <w:rPr>
          <w:sz w:val="20"/>
          <w:szCs w:val="20"/>
          <w:lang w:val="en-US"/>
        </w:rPr>
        <w:t xml:space="preserve"> relative to max dose</w:t>
      </w:r>
      <w:r w:rsidRPr="002E5B7A">
        <w:rPr>
          <w:sz w:val="20"/>
          <w:szCs w:val="20"/>
          <w:lang w:val="en-US"/>
        </w:rPr>
        <w:t xml:space="preserve">. Plans were normalized to have the same target coverage at ± 0.5 %. </w:t>
      </w:r>
    </w:p>
    <w:p w:rsidR="00805849" w:rsidRPr="002E5B7A" w:rsidRDefault="00805849" w:rsidP="0080584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2E5B7A">
        <w:rPr>
          <w:sz w:val="20"/>
          <w:szCs w:val="20"/>
          <w:lang w:val="en-US"/>
        </w:rPr>
        <w:t xml:space="preserve"> The quality of the MLC and IRIS™ treatment plans was assessed using two criteria: </w:t>
      </w:r>
    </w:p>
    <w:p w:rsidR="00805849" w:rsidRPr="002E5B7A" w:rsidRDefault="00805849" w:rsidP="00805849">
      <w:pPr>
        <w:pStyle w:val="Textebrut"/>
        <w:jc w:val="both"/>
        <w:rPr>
          <w:rFonts w:asciiTheme="minorHAnsi" w:hAnsiTheme="minorHAnsi" w:cstheme="minorBidi"/>
          <w:sz w:val="20"/>
          <w:szCs w:val="20"/>
          <w:lang w:val="en-US"/>
        </w:rPr>
      </w:pPr>
      <w:r w:rsidRPr="002E5B7A">
        <w:rPr>
          <w:rFonts w:asciiTheme="minorHAnsi" w:hAnsiTheme="minorHAnsi" w:cstheme="minorBidi"/>
          <w:sz w:val="20"/>
          <w:szCs w:val="20"/>
          <w:lang w:val="en-US"/>
        </w:rPr>
        <w:t>- Dose distribution by reporting the conformal index (COIN), Homogeneity Index (HI) and dose gradient index (GI)</w:t>
      </w:r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  <w:r w:rsidRPr="002E5B7A">
        <w:rPr>
          <w:rFonts w:asciiTheme="minorHAnsi" w:hAnsiTheme="minorHAnsi" w:cstheme="minorBidi"/>
          <w:sz w:val="20"/>
          <w:szCs w:val="20"/>
          <w:lang w:val="en-US"/>
        </w:rPr>
        <w:t>- Efficiency by reporting the number of delivered monitor units (MUs) and the treatment time</w:t>
      </w:r>
      <w:r w:rsidRPr="002E5B7A">
        <w:rPr>
          <w:sz w:val="20"/>
          <w:szCs w:val="20"/>
          <w:lang w:val="en-US"/>
        </w:rPr>
        <w:t xml:space="preserve">. </w:t>
      </w:r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  <w:r w:rsidRPr="002E5B7A">
        <w:rPr>
          <w:sz w:val="20"/>
          <w:szCs w:val="20"/>
          <w:lang w:val="en-US"/>
        </w:rPr>
        <w:t>To evaluate the accuracy of dose calculation algorithm with</w:t>
      </w:r>
      <w:r w:rsidR="00740BF9" w:rsidRPr="002E5B7A">
        <w:rPr>
          <w:sz w:val="20"/>
          <w:szCs w:val="20"/>
          <w:lang w:val="en-US"/>
        </w:rPr>
        <w:t>in</w:t>
      </w:r>
      <w:r w:rsidRPr="002E5B7A">
        <w:rPr>
          <w:sz w:val="20"/>
          <w:szCs w:val="20"/>
          <w:lang w:val="en-US"/>
        </w:rPr>
        <w:t xml:space="preserve"> heterogeneity, a typical lung treatment plan for each collimator was created on a QUASAR™ Respiratory phantom (Modus Medical </w:t>
      </w:r>
      <w:proofErr w:type="spellStart"/>
      <w:r w:rsidRPr="002E5B7A">
        <w:rPr>
          <w:sz w:val="20"/>
          <w:szCs w:val="20"/>
          <w:lang w:val="en-US"/>
        </w:rPr>
        <w:t>Inc</w:t>
      </w:r>
      <w:proofErr w:type="spellEnd"/>
      <w:r w:rsidRPr="002E5B7A">
        <w:rPr>
          <w:sz w:val="20"/>
          <w:szCs w:val="20"/>
          <w:lang w:val="en-US"/>
        </w:rPr>
        <w:t>) wi</w:t>
      </w:r>
      <w:r w:rsidR="001C5116" w:rsidRPr="002E5B7A">
        <w:rPr>
          <w:sz w:val="20"/>
          <w:szCs w:val="20"/>
          <w:lang w:val="en-US"/>
        </w:rPr>
        <w:t xml:space="preserve">th </w:t>
      </w:r>
      <w:r w:rsidRPr="002E5B7A">
        <w:rPr>
          <w:sz w:val="20"/>
          <w:szCs w:val="20"/>
          <w:lang w:val="en-US"/>
        </w:rPr>
        <w:t>a lung target</w:t>
      </w:r>
      <w:r w:rsidR="001C5116" w:rsidRPr="002E5B7A">
        <w:rPr>
          <w:sz w:val="20"/>
          <w:szCs w:val="20"/>
          <w:lang w:val="en-US"/>
        </w:rPr>
        <w:t xml:space="preserve"> insert</w:t>
      </w:r>
      <w:r w:rsidRPr="002E5B7A">
        <w:rPr>
          <w:sz w:val="20"/>
          <w:szCs w:val="20"/>
          <w:lang w:val="en-US"/>
        </w:rPr>
        <w:t xml:space="preserve">. Calculated planar dose was compared with measurements by </w:t>
      </w:r>
      <w:proofErr w:type="spellStart"/>
      <w:r w:rsidRPr="002E5B7A">
        <w:rPr>
          <w:sz w:val="20"/>
          <w:szCs w:val="20"/>
          <w:lang w:val="en-US"/>
        </w:rPr>
        <w:t>radiochromic</w:t>
      </w:r>
      <w:proofErr w:type="spellEnd"/>
      <w:r w:rsidRPr="002E5B7A">
        <w:rPr>
          <w:sz w:val="20"/>
          <w:szCs w:val="20"/>
          <w:lang w:val="en-US"/>
        </w:rPr>
        <w:t xml:space="preserve"> EBT3 films (Ashland</w:t>
      </w:r>
      <w:r w:rsidR="001C5116" w:rsidRPr="002E5B7A">
        <w:rPr>
          <w:sz w:val="20"/>
          <w:szCs w:val="20"/>
          <w:lang w:val="en-US"/>
        </w:rPr>
        <w:t>)</w:t>
      </w:r>
      <w:r w:rsidRPr="002E5B7A">
        <w:rPr>
          <w:sz w:val="20"/>
          <w:szCs w:val="20"/>
          <w:lang w:val="en-US"/>
        </w:rPr>
        <w:t>. T</w:t>
      </w:r>
      <w:r w:rsidRPr="002E5B7A">
        <w:rPr>
          <w:bCs/>
          <w:sz w:val="20"/>
          <w:szCs w:val="20"/>
          <w:lang w:val="en-US"/>
        </w:rPr>
        <w:t>he analysis was done using gamma analysis 3% (local) / 2 mm (threshold</w:t>
      </w:r>
      <w:r w:rsidR="001C5116" w:rsidRPr="002E5B7A">
        <w:rPr>
          <w:bCs/>
          <w:sz w:val="20"/>
          <w:szCs w:val="20"/>
          <w:lang w:val="en-US"/>
        </w:rPr>
        <w:t>: 30% of the max</w:t>
      </w:r>
      <w:r w:rsidRPr="002E5B7A">
        <w:rPr>
          <w:bCs/>
          <w:sz w:val="20"/>
          <w:szCs w:val="20"/>
          <w:lang w:val="en-US"/>
        </w:rPr>
        <w:t xml:space="preserve"> dose)</w:t>
      </w:r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</w:p>
    <w:p w:rsidR="00805849" w:rsidRPr="002E5B7A" w:rsidRDefault="00805849" w:rsidP="00805849">
      <w:pPr>
        <w:pStyle w:val="Textebrut"/>
        <w:jc w:val="both"/>
        <w:rPr>
          <w:b/>
          <w:sz w:val="20"/>
          <w:szCs w:val="20"/>
          <w:lang w:val="en-US"/>
        </w:rPr>
      </w:pPr>
      <w:r w:rsidRPr="002E5B7A">
        <w:rPr>
          <w:b/>
          <w:sz w:val="20"/>
          <w:szCs w:val="20"/>
          <w:lang w:val="en-US"/>
        </w:rPr>
        <w:t xml:space="preserve">Results: </w:t>
      </w:r>
      <w:r w:rsidRPr="002E5B7A">
        <w:rPr>
          <w:sz w:val="20"/>
          <w:szCs w:val="20"/>
          <w:lang w:val="en-US"/>
        </w:rPr>
        <w:t xml:space="preserve">Results are summarized in Table 1. Dose </w:t>
      </w:r>
      <w:proofErr w:type="spellStart"/>
      <w:r w:rsidRPr="002E5B7A">
        <w:rPr>
          <w:sz w:val="20"/>
          <w:szCs w:val="20"/>
          <w:lang w:val="en-US"/>
        </w:rPr>
        <w:t>conformality</w:t>
      </w:r>
      <w:proofErr w:type="spellEnd"/>
      <w:r w:rsidRPr="002E5B7A">
        <w:rPr>
          <w:sz w:val="20"/>
          <w:szCs w:val="20"/>
          <w:lang w:val="en-US"/>
        </w:rPr>
        <w:t xml:space="preserve"> and homogeneity were equivalent for both collimator systems (mean differences less than 3 %) except for targets with volumes smaller than 2 cm</w:t>
      </w:r>
      <w:r w:rsidRPr="002E5B7A">
        <w:rPr>
          <w:sz w:val="20"/>
          <w:szCs w:val="20"/>
          <w:vertAlign w:val="superscript"/>
          <w:lang w:val="en-US"/>
        </w:rPr>
        <w:t>3</w:t>
      </w:r>
      <w:r w:rsidR="001C5116" w:rsidRPr="002E5B7A">
        <w:rPr>
          <w:sz w:val="20"/>
          <w:szCs w:val="20"/>
          <w:lang w:val="en-US"/>
        </w:rPr>
        <w:t xml:space="preserve"> </w:t>
      </w:r>
      <w:r w:rsidRPr="002E5B7A">
        <w:rPr>
          <w:sz w:val="20"/>
          <w:szCs w:val="20"/>
          <w:lang w:val="en-US"/>
        </w:rPr>
        <w:t xml:space="preserve">for which dose </w:t>
      </w:r>
      <w:proofErr w:type="spellStart"/>
      <w:r w:rsidRPr="002E5B7A">
        <w:rPr>
          <w:sz w:val="20"/>
          <w:szCs w:val="20"/>
          <w:lang w:val="en-US"/>
        </w:rPr>
        <w:t>conformality</w:t>
      </w:r>
      <w:proofErr w:type="spellEnd"/>
      <w:r w:rsidRPr="002E5B7A">
        <w:rPr>
          <w:sz w:val="20"/>
          <w:szCs w:val="20"/>
          <w:lang w:val="en-US"/>
        </w:rPr>
        <w:t xml:space="preserve"> was better of 14 % on average with the IRIS collimator. The dose gradient index was improved by 10.5 % on average with the MLC and up to 26 % on average for volume </w:t>
      </w:r>
      <w:r w:rsidR="001C5116" w:rsidRPr="002E5B7A">
        <w:rPr>
          <w:sz w:val="20"/>
          <w:szCs w:val="20"/>
          <w:lang w:val="en-US"/>
        </w:rPr>
        <w:t>larger than</w:t>
      </w:r>
      <w:r w:rsidRPr="002E5B7A">
        <w:rPr>
          <w:sz w:val="20"/>
          <w:szCs w:val="20"/>
          <w:lang w:val="en-US"/>
        </w:rPr>
        <w:t xml:space="preserve"> 100 </w:t>
      </w:r>
      <w:proofErr w:type="gramStart"/>
      <w:r w:rsidRPr="002E5B7A">
        <w:rPr>
          <w:sz w:val="20"/>
          <w:szCs w:val="20"/>
          <w:lang w:val="en-US"/>
        </w:rPr>
        <w:t>cm</w:t>
      </w:r>
      <w:r w:rsidRPr="002E5B7A">
        <w:rPr>
          <w:sz w:val="20"/>
          <w:szCs w:val="20"/>
          <w:vertAlign w:val="superscript"/>
          <w:lang w:val="en-US"/>
        </w:rPr>
        <w:t xml:space="preserve">3 </w:t>
      </w:r>
      <w:r w:rsidR="001C5116" w:rsidRPr="002E5B7A">
        <w:rPr>
          <w:sz w:val="20"/>
          <w:szCs w:val="20"/>
          <w:lang w:val="en-US"/>
        </w:rPr>
        <w:t>.</w:t>
      </w:r>
      <w:proofErr w:type="gramEnd"/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  <w:r w:rsidRPr="002E5B7A">
        <w:rPr>
          <w:sz w:val="20"/>
          <w:szCs w:val="20"/>
          <w:lang w:val="en-US"/>
        </w:rPr>
        <w:t>The number of MUs decreased by 25 % on average (up to 70 %) and the treatment times were systematically reduced with a mean reduction of 28 % (max 54 %) with the MLC.</w:t>
      </w:r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  <w:r w:rsidRPr="002E5B7A">
        <w:rPr>
          <w:sz w:val="20"/>
          <w:szCs w:val="20"/>
          <w:lang w:val="en-US"/>
        </w:rPr>
        <w:t xml:space="preserve">The comparison between calculated and measured dose in lung phantom showed a gamma passing rate of 51.6 %, 45.5 % and 98.7 % for FSPB, Ray Tracing and Monte Carlo respectively. </w:t>
      </w:r>
    </w:p>
    <w:p w:rsidR="00805849" w:rsidRPr="002E5B7A" w:rsidRDefault="00805849" w:rsidP="00805849">
      <w:pPr>
        <w:pStyle w:val="Textebrut"/>
        <w:jc w:val="both"/>
        <w:rPr>
          <w:sz w:val="20"/>
          <w:szCs w:val="20"/>
          <w:lang w:val="en-US"/>
        </w:rPr>
      </w:pPr>
    </w:p>
    <w:p w:rsidR="001C5116" w:rsidRDefault="00805849" w:rsidP="00805849">
      <w:pPr>
        <w:pStyle w:val="Textebrut"/>
        <w:jc w:val="both"/>
        <w:rPr>
          <w:bCs/>
          <w:sz w:val="20"/>
          <w:szCs w:val="20"/>
          <w:lang w:val="en-US"/>
        </w:rPr>
      </w:pPr>
      <w:r w:rsidRPr="002E5B7A">
        <w:rPr>
          <w:b/>
          <w:sz w:val="20"/>
          <w:szCs w:val="20"/>
          <w:lang w:val="en-US"/>
        </w:rPr>
        <w:t xml:space="preserve">Conclusion: </w:t>
      </w:r>
      <w:r w:rsidRPr="002E5B7A">
        <w:rPr>
          <w:sz w:val="20"/>
          <w:szCs w:val="20"/>
          <w:lang w:val="en-US"/>
        </w:rPr>
        <w:t xml:space="preserve">The MLC Incise2™ on </w:t>
      </w:r>
      <w:proofErr w:type="spellStart"/>
      <w:r w:rsidRPr="002E5B7A">
        <w:rPr>
          <w:sz w:val="20"/>
          <w:szCs w:val="20"/>
          <w:lang w:val="en-US"/>
        </w:rPr>
        <w:t>Cyberknife</w:t>
      </w:r>
      <w:proofErr w:type="spellEnd"/>
      <w:r w:rsidRPr="002E5B7A">
        <w:rPr>
          <w:sz w:val="20"/>
          <w:szCs w:val="20"/>
          <w:lang w:val="en-US"/>
        </w:rPr>
        <w:t xml:space="preserve">® allows a </w:t>
      </w:r>
      <w:r w:rsidRPr="002E5B7A">
        <w:rPr>
          <w:bCs/>
          <w:sz w:val="20"/>
          <w:szCs w:val="20"/>
          <w:lang w:val="en-US"/>
        </w:rPr>
        <w:t>significant reduction of MUs and treatment time compared to circular collimators</w:t>
      </w:r>
      <w:r w:rsidR="00191C58" w:rsidRPr="002E5B7A">
        <w:rPr>
          <w:bCs/>
          <w:sz w:val="20"/>
          <w:szCs w:val="20"/>
          <w:lang w:val="en-US"/>
        </w:rPr>
        <w:t xml:space="preserve"> while</w:t>
      </w:r>
      <w:r w:rsidRPr="002E5B7A">
        <w:rPr>
          <w:bCs/>
          <w:sz w:val="20"/>
          <w:szCs w:val="20"/>
          <w:lang w:val="en-US"/>
        </w:rPr>
        <w:t xml:space="preserve"> maintaining a high degree of </w:t>
      </w:r>
      <w:proofErr w:type="spellStart"/>
      <w:r w:rsidRPr="002E5B7A">
        <w:rPr>
          <w:bCs/>
          <w:sz w:val="20"/>
          <w:szCs w:val="20"/>
          <w:lang w:val="en-US"/>
        </w:rPr>
        <w:t>conformality</w:t>
      </w:r>
      <w:proofErr w:type="spellEnd"/>
      <w:r w:rsidRPr="002E5B7A">
        <w:rPr>
          <w:bCs/>
          <w:sz w:val="20"/>
          <w:szCs w:val="20"/>
          <w:lang w:val="en-US"/>
        </w:rPr>
        <w:t xml:space="preserve"> and a steep dose gradient. For treatment of target volumes smaller than 2 cm</w:t>
      </w:r>
      <w:r w:rsidRPr="002E5B7A">
        <w:rPr>
          <w:bCs/>
          <w:sz w:val="20"/>
          <w:szCs w:val="20"/>
          <w:vertAlign w:val="superscript"/>
          <w:lang w:val="en-US"/>
        </w:rPr>
        <w:t>3</w:t>
      </w:r>
      <w:r w:rsidRPr="002E5B7A">
        <w:rPr>
          <w:bCs/>
          <w:sz w:val="20"/>
          <w:szCs w:val="20"/>
          <w:lang w:val="en-US"/>
        </w:rPr>
        <w:t>, circular collimators should be still used.</w:t>
      </w:r>
      <w:r w:rsidRPr="002E5B7A">
        <w:rPr>
          <w:sz w:val="20"/>
          <w:szCs w:val="20"/>
          <w:lang w:val="en-US"/>
        </w:rPr>
        <w:t xml:space="preserve"> </w:t>
      </w:r>
      <w:r w:rsidR="00424D47" w:rsidRPr="002E5B7A">
        <w:rPr>
          <w:bCs/>
          <w:sz w:val="20"/>
          <w:szCs w:val="20"/>
          <w:lang w:val="en-US"/>
        </w:rPr>
        <w:t>T</w:t>
      </w:r>
      <w:r w:rsidR="00445994" w:rsidRPr="002E5B7A">
        <w:rPr>
          <w:bCs/>
          <w:sz w:val="20"/>
          <w:szCs w:val="20"/>
          <w:lang w:val="en-US"/>
        </w:rPr>
        <w:t xml:space="preserve">he use of MLC for SBRT </w:t>
      </w:r>
      <w:r w:rsidRPr="002E5B7A">
        <w:rPr>
          <w:bCs/>
          <w:sz w:val="20"/>
          <w:szCs w:val="20"/>
          <w:lang w:val="en-US"/>
        </w:rPr>
        <w:t xml:space="preserve">of lung targets </w:t>
      </w:r>
      <w:r w:rsidR="00445994" w:rsidRPr="002E5B7A">
        <w:rPr>
          <w:bCs/>
          <w:sz w:val="20"/>
          <w:szCs w:val="20"/>
          <w:lang w:val="en-US"/>
        </w:rPr>
        <w:t>should not</w:t>
      </w:r>
      <w:r w:rsidR="00085FF7" w:rsidRPr="002E5B7A">
        <w:rPr>
          <w:bCs/>
          <w:sz w:val="20"/>
          <w:szCs w:val="20"/>
          <w:lang w:val="en-US"/>
        </w:rPr>
        <w:t xml:space="preserve"> be recommended</w:t>
      </w:r>
      <w:r w:rsidRPr="002E5B7A">
        <w:rPr>
          <w:bCs/>
          <w:sz w:val="20"/>
          <w:szCs w:val="20"/>
          <w:lang w:val="en-US"/>
        </w:rPr>
        <w:t xml:space="preserve"> </w:t>
      </w:r>
      <w:r w:rsidR="00424D47" w:rsidRPr="002E5B7A">
        <w:rPr>
          <w:bCs/>
          <w:sz w:val="20"/>
          <w:szCs w:val="20"/>
          <w:lang w:val="en-US"/>
        </w:rPr>
        <w:t xml:space="preserve">currently </w:t>
      </w:r>
      <w:r w:rsidRPr="002E5B7A">
        <w:rPr>
          <w:bCs/>
          <w:sz w:val="20"/>
          <w:szCs w:val="20"/>
          <w:lang w:val="en-US"/>
        </w:rPr>
        <w:t xml:space="preserve">due to the </w:t>
      </w:r>
      <w:r w:rsidR="00085FF7" w:rsidRPr="002E5B7A">
        <w:rPr>
          <w:bCs/>
          <w:sz w:val="20"/>
          <w:szCs w:val="20"/>
          <w:lang w:val="en-US"/>
        </w:rPr>
        <w:t xml:space="preserve">absence of </w:t>
      </w:r>
      <w:r w:rsidR="00191C58" w:rsidRPr="002E5B7A">
        <w:rPr>
          <w:bCs/>
          <w:sz w:val="20"/>
          <w:szCs w:val="20"/>
          <w:lang w:val="en-US"/>
        </w:rPr>
        <w:t>type B</w:t>
      </w:r>
      <w:r w:rsidRPr="002E5B7A">
        <w:rPr>
          <w:bCs/>
          <w:sz w:val="20"/>
          <w:szCs w:val="20"/>
          <w:lang w:val="en-US"/>
        </w:rPr>
        <w:t xml:space="preserve"> dose calculation algorithm.</w:t>
      </w:r>
    </w:p>
    <w:p w:rsidR="002E5B7A" w:rsidRPr="002E5B7A" w:rsidRDefault="002E5B7A" w:rsidP="00805849">
      <w:pPr>
        <w:pStyle w:val="Textebrut"/>
        <w:jc w:val="both"/>
        <w:rPr>
          <w:b/>
          <w:sz w:val="20"/>
          <w:szCs w:val="20"/>
          <w:lang w:val="en-US"/>
        </w:rPr>
      </w:pPr>
    </w:p>
    <w:p w:rsidR="002E5B7A" w:rsidRPr="002E5B7A" w:rsidRDefault="002E5B7A" w:rsidP="002E5B7A">
      <w:pPr>
        <w:rPr>
          <w:sz w:val="20"/>
          <w:szCs w:val="20"/>
          <w:lang w:val="en-US"/>
        </w:rPr>
      </w:pPr>
      <w:r w:rsidRPr="002E5B7A">
        <w:rPr>
          <w:b/>
          <w:sz w:val="20"/>
          <w:szCs w:val="20"/>
          <w:lang w:val="en-US"/>
        </w:rPr>
        <w:t>Keywords:</w:t>
      </w:r>
      <w:r w:rsidRPr="002E5B7A">
        <w:rPr>
          <w:sz w:val="20"/>
          <w:szCs w:val="20"/>
          <w:lang w:val="en-US"/>
        </w:rPr>
        <w:t xml:space="preserve"> stereotact</w:t>
      </w:r>
      <w:r w:rsidRPr="002E5B7A">
        <w:rPr>
          <w:sz w:val="20"/>
          <w:szCs w:val="20"/>
          <w:lang w:val="en-US"/>
        </w:rPr>
        <w:t xml:space="preserve">ic radiotherapy, MLC, </w:t>
      </w:r>
      <w:proofErr w:type="spellStart"/>
      <w:r w:rsidRPr="002E5B7A">
        <w:rPr>
          <w:sz w:val="20"/>
          <w:szCs w:val="20"/>
          <w:lang w:val="en-US"/>
        </w:rPr>
        <w:t>Cyberknife</w:t>
      </w:r>
      <w:proofErr w:type="spellEnd"/>
    </w:p>
    <w:p w:rsidR="002E5B7A" w:rsidRPr="001C5116" w:rsidRDefault="002E5B7A" w:rsidP="00805849">
      <w:pPr>
        <w:pStyle w:val="Textebrut"/>
        <w:jc w:val="both"/>
        <w:rPr>
          <w:bCs/>
          <w:lang w:val="en-US"/>
        </w:rPr>
      </w:pPr>
    </w:p>
    <w:tbl>
      <w:tblPr>
        <w:tblStyle w:val="TableauGrille4-Accentuation5"/>
        <w:tblpPr w:leftFromText="141" w:rightFromText="141" w:vertAnchor="text" w:horzAnchor="margin" w:tblpXSpec="center" w:tblpY="65"/>
        <w:tblW w:w="7760" w:type="dxa"/>
        <w:tblLook w:val="04A0" w:firstRow="1" w:lastRow="0" w:firstColumn="1" w:lastColumn="0" w:noHBand="0" w:noVBand="1"/>
      </w:tblPr>
      <w:tblGrid>
        <w:gridCol w:w="2263"/>
        <w:gridCol w:w="1702"/>
        <w:gridCol w:w="2340"/>
        <w:gridCol w:w="1455"/>
      </w:tblGrid>
      <w:tr w:rsidR="00805849" w:rsidRPr="00646CAC" w:rsidTr="00D20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rPr>
                <w:b w:val="0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46CAC">
              <w:rPr>
                <w:b w:val="0"/>
                <w:lang w:val="en-US"/>
              </w:rPr>
              <w:t>MLC</w:t>
            </w:r>
            <w:r w:rsidR="002E5B7A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46CAC">
              <w:rPr>
                <w:b w:val="0"/>
                <w:lang w:val="en-US"/>
              </w:rPr>
              <w:t>IRIS</w:t>
            </w:r>
          </w:p>
        </w:tc>
        <w:tc>
          <w:tcPr>
            <w:tcW w:w="1455" w:type="dxa"/>
          </w:tcPr>
          <w:p w:rsidR="00805849" w:rsidRPr="00646CAC" w:rsidRDefault="00805849" w:rsidP="00D207EF">
            <w:pPr>
              <w:pStyle w:val="Textebru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Ideal value</w:t>
            </w:r>
          </w:p>
        </w:tc>
      </w:tr>
      <w:tr w:rsidR="00805849" w:rsidRPr="00646CAC" w:rsidTr="00D2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05849" w:rsidRPr="00646CAC" w:rsidRDefault="00805849" w:rsidP="00D207EF">
            <w:pPr>
              <w:pStyle w:val="Textebrut"/>
              <w:rPr>
                <w:b w:val="0"/>
                <w:lang w:val="en-US"/>
              </w:rPr>
            </w:pPr>
            <w:r w:rsidRPr="00646CAC">
              <w:rPr>
                <w:lang w:val="en-US"/>
              </w:rPr>
              <w:t xml:space="preserve">COIN </w:t>
            </w: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1.20 ± 0.15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1.16 ± 0.07</w:t>
            </w:r>
          </w:p>
        </w:tc>
        <w:tc>
          <w:tcPr>
            <w:tcW w:w="1455" w:type="dxa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1</w:t>
            </w:r>
          </w:p>
        </w:tc>
      </w:tr>
      <w:tr w:rsidR="00805849" w:rsidRPr="00646CAC" w:rsidTr="00D2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05849" w:rsidRPr="00646CAC" w:rsidRDefault="00805849" w:rsidP="00D207EF">
            <w:pPr>
              <w:pStyle w:val="Textebrut"/>
              <w:rPr>
                <w:b w:val="0"/>
                <w:lang w:val="en-US"/>
              </w:rPr>
            </w:pPr>
            <w:r w:rsidRPr="00646CAC">
              <w:rPr>
                <w:lang w:val="en-US"/>
              </w:rPr>
              <w:t xml:space="preserve">HI </w:t>
            </w: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1.33 ± 0.23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1.36 ± 0.25</w:t>
            </w:r>
          </w:p>
        </w:tc>
        <w:tc>
          <w:tcPr>
            <w:tcW w:w="1455" w:type="dxa"/>
            <w:tcBorders>
              <w:bottom w:val="single" w:sz="4" w:space="0" w:color="8EAADB" w:themeColor="accent5" w:themeTint="99"/>
            </w:tcBorders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1</w:t>
            </w:r>
          </w:p>
        </w:tc>
      </w:tr>
      <w:tr w:rsidR="00805849" w:rsidRPr="00646CAC" w:rsidTr="00D2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05849" w:rsidRPr="00646CAC" w:rsidRDefault="00A4739B" w:rsidP="00D207EF">
            <w:pPr>
              <w:pStyle w:val="Textebrut"/>
              <w:rPr>
                <w:b w:val="0"/>
                <w:lang w:val="en-US"/>
              </w:rPr>
            </w:pPr>
            <w:r>
              <w:rPr>
                <w:lang w:val="en-US"/>
              </w:rPr>
              <w:t>GI</w:t>
            </w: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2.98 ± 0.48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46CAC">
              <w:rPr>
                <w:lang w:val="en-US"/>
              </w:rPr>
              <w:t>3.38  ±  0.59</w:t>
            </w:r>
          </w:p>
        </w:tc>
        <w:tc>
          <w:tcPr>
            <w:tcW w:w="1455" w:type="dxa"/>
            <w:vMerge w:val="restart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Lower as possible </w:t>
            </w:r>
          </w:p>
        </w:tc>
      </w:tr>
      <w:tr w:rsidR="00805849" w:rsidRPr="00646CAC" w:rsidTr="00D20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5849" w:rsidRPr="00646CAC" w:rsidRDefault="00805849" w:rsidP="00D207EF">
            <w:pPr>
              <w:pStyle w:val="Textebrut"/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r w:rsidRPr="00646CAC">
              <w:rPr>
                <w:lang w:val="en-US"/>
              </w:rPr>
              <w:t xml:space="preserve">MUs </w:t>
            </w: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  <w:r w:rsidRPr="00646CAC">
              <w:rPr>
                <w:lang w:val="en-US"/>
              </w:rPr>
              <w:t>797 ± 9</w:t>
            </w:r>
            <w:r>
              <w:rPr>
                <w:lang w:val="en-US"/>
              </w:rPr>
              <w:t xml:space="preserve"> </w:t>
            </w:r>
            <w:r w:rsidRPr="00646CAC">
              <w:rPr>
                <w:lang w:val="en-US"/>
              </w:rPr>
              <w:t>544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Pr="00646CAC">
              <w:rPr>
                <w:lang w:val="en-US"/>
              </w:rPr>
              <w:t>572 ± 10</w:t>
            </w:r>
            <w:r>
              <w:rPr>
                <w:lang w:val="en-US"/>
              </w:rPr>
              <w:t xml:space="preserve"> </w:t>
            </w:r>
            <w:r w:rsidRPr="00646CAC">
              <w:rPr>
                <w:lang w:val="en-US"/>
              </w:rPr>
              <w:t>130</w:t>
            </w:r>
          </w:p>
        </w:tc>
        <w:tc>
          <w:tcPr>
            <w:tcW w:w="1455" w:type="dxa"/>
            <w:vMerge/>
          </w:tcPr>
          <w:p w:rsidR="00805849" w:rsidRPr="00646CAC" w:rsidRDefault="00805849" w:rsidP="00D207EF">
            <w:pPr>
              <w:pStyle w:val="Textebru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05849" w:rsidRPr="00646CAC" w:rsidTr="00D20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05849" w:rsidRPr="00646CAC" w:rsidRDefault="00805849" w:rsidP="00D207EF">
            <w:pPr>
              <w:pStyle w:val="Textebrut"/>
              <w:rPr>
                <w:lang w:val="en-US"/>
              </w:rPr>
            </w:pPr>
            <w:r>
              <w:rPr>
                <w:lang w:val="en-US"/>
              </w:rPr>
              <w:t xml:space="preserve">Treatment </w:t>
            </w:r>
            <w:r w:rsidRPr="00646CAC">
              <w:rPr>
                <w:lang w:val="en-US"/>
              </w:rPr>
              <w:t>time (min)</w:t>
            </w:r>
          </w:p>
        </w:tc>
        <w:tc>
          <w:tcPr>
            <w:tcW w:w="1702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27 ± 7</w:t>
            </w:r>
          </w:p>
        </w:tc>
        <w:tc>
          <w:tcPr>
            <w:tcW w:w="2340" w:type="dxa"/>
            <w:vAlign w:val="center"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6CAC">
              <w:rPr>
                <w:lang w:val="en-US"/>
              </w:rPr>
              <w:t>38 ± 15</w:t>
            </w:r>
          </w:p>
        </w:tc>
        <w:tc>
          <w:tcPr>
            <w:tcW w:w="1455" w:type="dxa"/>
            <w:vMerge/>
          </w:tcPr>
          <w:p w:rsidR="00805849" w:rsidRPr="00646CAC" w:rsidRDefault="00805849" w:rsidP="00D207EF">
            <w:pPr>
              <w:pStyle w:val="Textebru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805849">
      <w:pPr>
        <w:pStyle w:val="Textebrut"/>
        <w:jc w:val="center"/>
        <w:rPr>
          <w:b/>
          <w:lang w:val="en-US"/>
        </w:rPr>
      </w:pPr>
    </w:p>
    <w:p w:rsidR="00805849" w:rsidRPr="00646CAC" w:rsidRDefault="00805849" w:rsidP="002E5B7A">
      <w:pPr>
        <w:pStyle w:val="Textebrut"/>
        <w:jc w:val="center"/>
        <w:rPr>
          <w:i/>
          <w:lang w:val="en-US"/>
        </w:rPr>
      </w:pPr>
      <w:r>
        <w:rPr>
          <w:i/>
          <w:u w:val="single"/>
          <w:lang w:val="en-US"/>
        </w:rPr>
        <w:t>Table</w:t>
      </w:r>
      <w:r w:rsidRPr="00646CAC">
        <w:rPr>
          <w:i/>
          <w:u w:val="single"/>
          <w:lang w:val="en-US"/>
        </w:rPr>
        <w:t> 1</w:t>
      </w:r>
      <w:r w:rsidRPr="00646CAC">
        <w:rPr>
          <w:i/>
          <w:lang w:val="en-US"/>
        </w:rPr>
        <w:t xml:space="preserve">: Comparison of </w:t>
      </w:r>
      <w:proofErr w:type="spellStart"/>
      <w:r w:rsidRPr="00646CAC">
        <w:rPr>
          <w:i/>
          <w:lang w:val="en-US"/>
        </w:rPr>
        <w:t>dosimetric</w:t>
      </w:r>
      <w:proofErr w:type="spellEnd"/>
      <w:r w:rsidRPr="00646CAC">
        <w:rPr>
          <w:i/>
          <w:lang w:val="en-US"/>
        </w:rPr>
        <w:t xml:space="preserve"> </w:t>
      </w:r>
      <w:r w:rsidR="001C5116">
        <w:rPr>
          <w:i/>
          <w:lang w:val="en-US"/>
        </w:rPr>
        <w:t>index</w:t>
      </w:r>
      <w:r w:rsidR="005A07D9">
        <w:rPr>
          <w:i/>
          <w:lang w:val="en-US"/>
        </w:rPr>
        <w:t>es</w:t>
      </w:r>
      <w:bookmarkStart w:id="0" w:name="_GoBack"/>
      <w:bookmarkEnd w:id="0"/>
      <w:r w:rsidR="001C5116">
        <w:rPr>
          <w:i/>
          <w:lang w:val="en-US"/>
        </w:rPr>
        <w:t xml:space="preserve"> and efficiency for MLC and IRIS plans</w:t>
      </w:r>
      <w:r w:rsidR="002E5B7A">
        <w:rPr>
          <w:i/>
          <w:lang w:val="en-US"/>
        </w:rPr>
        <w:t xml:space="preserve"> (M</w:t>
      </w:r>
      <w:r w:rsidRPr="00646CAC">
        <w:rPr>
          <w:i/>
          <w:lang w:val="en-US"/>
        </w:rPr>
        <w:t xml:space="preserve"> ± </w:t>
      </w:r>
      <w:r w:rsidR="002E5B7A" w:rsidRPr="002E5B7A">
        <w:rPr>
          <w:rFonts w:ascii="Symbol" w:hAnsi="Symbol"/>
          <w:i/>
          <w:lang w:val="en-US"/>
        </w:rPr>
        <w:t></w:t>
      </w:r>
      <w:r w:rsidRPr="00646CAC">
        <w:rPr>
          <w:i/>
          <w:lang w:val="en-US"/>
        </w:rPr>
        <w:t xml:space="preserve">) </w:t>
      </w:r>
    </w:p>
    <w:p w:rsidR="00A4739B" w:rsidRDefault="00A4739B" w:rsidP="001C5116">
      <w:pPr>
        <w:pStyle w:val="Textebrut"/>
        <w:rPr>
          <w:i/>
          <w:lang w:val="en-US"/>
        </w:rPr>
      </w:pPr>
    </w:p>
    <w:sectPr w:rsidR="00A4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9"/>
    <w:rsid w:val="00060D70"/>
    <w:rsid w:val="00085FF7"/>
    <w:rsid w:val="00191C58"/>
    <w:rsid w:val="001C5116"/>
    <w:rsid w:val="002E5B7A"/>
    <w:rsid w:val="00424D47"/>
    <w:rsid w:val="00445994"/>
    <w:rsid w:val="005A07D9"/>
    <w:rsid w:val="00681E36"/>
    <w:rsid w:val="00740BF9"/>
    <w:rsid w:val="00805849"/>
    <w:rsid w:val="00A4739B"/>
    <w:rsid w:val="00E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809B-FE29-4092-A112-118A9D85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058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05849"/>
    <w:rPr>
      <w:rFonts w:ascii="Calibri" w:hAnsi="Calibri" w:cs="Consolas"/>
      <w:szCs w:val="21"/>
    </w:rPr>
  </w:style>
  <w:style w:type="table" w:styleId="TableauGrille4-Accentuation5">
    <w:name w:val="Grid Table 4 Accent 5"/>
    <w:basedOn w:val="TableauNormal"/>
    <w:uiPriority w:val="49"/>
    <w:rsid w:val="008058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058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58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584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849"/>
    <w:rPr>
      <w:rFonts w:ascii="Segoe UI" w:hAnsi="Segoe UI" w:cs="Segoe UI"/>
      <w:sz w:val="18"/>
      <w:szCs w:val="18"/>
    </w:rPr>
  </w:style>
  <w:style w:type="character" w:customStyle="1" w:styleId="position">
    <w:name w:val="position"/>
    <w:basedOn w:val="Policepardfaut"/>
    <w:rsid w:val="00A4739B"/>
  </w:style>
  <w:style w:type="character" w:customStyle="1" w:styleId="name">
    <w:name w:val="name"/>
    <w:basedOn w:val="Policepardfaut"/>
    <w:rsid w:val="00A4739B"/>
  </w:style>
  <w:style w:type="character" w:styleId="Lienhypertexte">
    <w:name w:val="Hyperlink"/>
    <w:basedOn w:val="Policepardfaut"/>
    <w:uiPriority w:val="99"/>
    <w:semiHidden/>
    <w:unhideWhenUsed/>
    <w:rsid w:val="00A47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3000</Characters>
  <Application>Microsoft Office Word</Application>
  <DocSecurity>0</DocSecurity>
  <Lines>78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Eugène Marquis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BELLEC Julien</dc:creator>
  <cp:keywords/>
  <dc:description/>
  <cp:lastModifiedBy>BELLEC Julien</cp:lastModifiedBy>
  <cp:revision>3</cp:revision>
  <dcterms:created xsi:type="dcterms:W3CDTF">2016-04-06T19:42:00Z</dcterms:created>
  <dcterms:modified xsi:type="dcterms:W3CDTF">2016-04-06T19:44:00Z</dcterms:modified>
</cp:coreProperties>
</file>