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07" w:rsidRPr="001D2932" w:rsidRDefault="003C0212" w:rsidP="00B726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O</w:t>
      </w:r>
      <w:r w:rsidR="00235907" w:rsidRPr="001D2932">
        <w:rPr>
          <w:sz w:val="28"/>
          <w:lang w:val="en-US"/>
        </w:rPr>
        <w:t>ptimal</w:t>
      </w:r>
      <w:r>
        <w:rPr>
          <w:sz w:val="28"/>
          <w:lang w:val="en-US"/>
        </w:rPr>
        <w:t xml:space="preserve"> t</w:t>
      </w:r>
      <w:r w:rsidRPr="001D2932">
        <w:rPr>
          <w:sz w:val="28"/>
          <w:lang w:val="en-US"/>
        </w:rPr>
        <w:t xml:space="preserve">reatment planning </w:t>
      </w:r>
      <w:r>
        <w:rPr>
          <w:sz w:val="28"/>
          <w:lang w:val="en-US"/>
        </w:rPr>
        <w:t>for</w:t>
      </w:r>
      <w:r w:rsidR="001D2932" w:rsidRPr="001D2932">
        <w:rPr>
          <w:sz w:val="28"/>
          <w:lang w:val="en-US"/>
        </w:rPr>
        <w:t xml:space="preserve"> head and neck VMAT</w:t>
      </w:r>
      <w:r w:rsidR="00B72628">
        <w:rPr>
          <w:sz w:val="28"/>
          <w:lang w:val="en-US"/>
        </w:rPr>
        <w:t>:</w:t>
      </w:r>
      <w:r w:rsidR="00EC27C7">
        <w:rPr>
          <w:sz w:val="28"/>
          <w:lang w:val="en-US"/>
        </w:rPr>
        <w:t xml:space="preserve"> </w:t>
      </w:r>
      <w:r w:rsidR="00754758">
        <w:rPr>
          <w:sz w:val="28"/>
          <w:lang w:val="en-US"/>
        </w:rPr>
        <w:t>evaluatio</w:t>
      </w:r>
      <w:r w:rsidR="00754758" w:rsidRPr="001D2932">
        <w:rPr>
          <w:sz w:val="28"/>
          <w:lang w:val="en-US"/>
        </w:rPr>
        <w:t xml:space="preserve">n </w:t>
      </w:r>
      <w:r w:rsidR="00754758">
        <w:rPr>
          <w:sz w:val="28"/>
          <w:lang w:val="en-US"/>
        </w:rPr>
        <w:t xml:space="preserve">of </w:t>
      </w:r>
      <w:r w:rsidR="001D2932" w:rsidRPr="001D2932">
        <w:rPr>
          <w:sz w:val="28"/>
          <w:lang w:val="en-US"/>
        </w:rPr>
        <w:t xml:space="preserve">a tool to predict parotids sparing </w:t>
      </w:r>
    </w:p>
    <w:p w:rsidR="00235907" w:rsidRPr="001D2932" w:rsidRDefault="00235907" w:rsidP="00235907">
      <w:pPr>
        <w:jc w:val="center"/>
        <w:rPr>
          <w:lang w:val="en-US"/>
        </w:rPr>
      </w:pPr>
    </w:p>
    <w:p w:rsidR="00235907" w:rsidRDefault="00235907" w:rsidP="00235907">
      <w:pPr>
        <w:jc w:val="center"/>
        <w:rPr>
          <w:lang w:val="en-US"/>
        </w:rPr>
      </w:pPr>
      <w:r w:rsidRPr="001B016E">
        <w:rPr>
          <w:lang w:val="en-US"/>
        </w:rPr>
        <w:t>S. Martin</w:t>
      </w:r>
      <w:r w:rsidR="00C4500A" w:rsidRPr="00C4500A">
        <w:rPr>
          <w:vertAlign w:val="superscript"/>
          <w:lang w:val="en-US"/>
        </w:rPr>
        <w:t>1</w:t>
      </w:r>
      <w:r w:rsidRPr="001B016E">
        <w:rPr>
          <w:lang w:val="en-US"/>
        </w:rPr>
        <w:t>, N. Delaby</w:t>
      </w:r>
      <w:r w:rsidR="00C4500A" w:rsidRPr="00C4500A">
        <w:rPr>
          <w:vertAlign w:val="superscript"/>
          <w:lang w:val="en-US"/>
        </w:rPr>
        <w:t>1</w:t>
      </w:r>
      <w:r w:rsidRPr="001B016E">
        <w:rPr>
          <w:lang w:val="en-US"/>
        </w:rPr>
        <w:t>, O. Henry</w:t>
      </w:r>
      <w:r w:rsidR="00C4500A" w:rsidRPr="00C4500A">
        <w:rPr>
          <w:vertAlign w:val="superscript"/>
          <w:lang w:val="en-US"/>
        </w:rPr>
        <w:t>1</w:t>
      </w:r>
      <w:r w:rsidRPr="001B016E">
        <w:rPr>
          <w:lang w:val="en-US"/>
        </w:rPr>
        <w:t>, E. Chajon</w:t>
      </w:r>
      <w:r w:rsidR="00C4500A" w:rsidRPr="00C4500A">
        <w:rPr>
          <w:vertAlign w:val="superscript"/>
          <w:lang w:val="en-US"/>
        </w:rPr>
        <w:t>1</w:t>
      </w:r>
      <w:r w:rsidRPr="001B016E">
        <w:rPr>
          <w:lang w:val="en-US"/>
        </w:rPr>
        <w:t>, C. Lafond</w:t>
      </w:r>
      <w:r w:rsidR="00C4500A" w:rsidRPr="00C4500A">
        <w:rPr>
          <w:vertAlign w:val="superscript"/>
          <w:lang w:val="en-US"/>
        </w:rPr>
        <w:t>1</w:t>
      </w:r>
      <w:proofErr w:type="gramStart"/>
      <w:r w:rsidR="00C4500A">
        <w:rPr>
          <w:vertAlign w:val="superscript"/>
          <w:lang w:val="en-US"/>
        </w:rPr>
        <w:t>,</w:t>
      </w:r>
      <w:r w:rsidR="00C4500A" w:rsidRPr="00C4500A">
        <w:rPr>
          <w:vertAlign w:val="superscript"/>
          <w:lang w:val="en-US"/>
        </w:rPr>
        <w:t>2</w:t>
      </w:r>
      <w:r w:rsidR="00C4500A">
        <w:rPr>
          <w:vertAlign w:val="superscript"/>
          <w:lang w:val="en-US"/>
        </w:rPr>
        <w:t>,</w:t>
      </w:r>
      <w:r w:rsidR="00C4500A" w:rsidRPr="00C4500A">
        <w:rPr>
          <w:vertAlign w:val="superscript"/>
          <w:lang w:val="en-US"/>
        </w:rPr>
        <w:t>3</w:t>
      </w:r>
      <w:proofErr w:type="gramEnd"/>
    </w:p>
    <w:p w:rsidR="00C4500A" w:rsidRPr="00C4500A" w:rsidRDefault="00C4500A" w:rsidP="00C4500A">
      <w:pPr>
        <w:pStyle w:val="Sansinterligne"/>
      </w:pPr>
      <w:r w:rsidRPr="00C450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C4500A">
        <w:t xml:space="preserve">Centre Eugene Marquis, </w:t>
      </w:r>
      <w:r>
        <w:t>Rennes, France</w:t>
      </w:r>
    </w:p>
    <w:p w:rsidR="00C4500A" w:rsidRPr="00C4500A" w:rsidRDefault="00C4500A" w:rsidP="00C4500A">
      <w:pPr>
        <w:pStyle w:val="Sansinterligne"/>
      </w:pPr>
      <w:r w:rsidRPr="00C4500A">
        <w:rPr>
          <w:vertAlign w:val="superscript"/>
        </w:rPr>
        <w:t>2</w:t>
      </w:r>
      <w:r w:rsidRPr="00C4500A">
        <w:t xml:space="preserve"> </w:t>
      </w:r>
      <w:r w:rsidRPr="00C4500A">
        <w:t>INSERM, U 1099, Rennes, France</w:t>
      </w:r>
    </w:p>
    <w:p w:rsidR="00C4500A" w:rsidRPr="00C4500A" w:rsidRDefault="00C4500A" w:rsidP="00C4500A">
      <w:pPr>
        <w:pStyle w:val="Sansinterligne"/>
      </w:pPr>
      <w:r w:rsidRPr="00C4500A">
        <w:rPr>
          <w:vertAlign w:val="superscript"/>
        </w:rPr>
        <w:t>3</w:t>
      </w:r>
      <w:r w:rsidRPr="00C4500A">
        <w:t xml:space="preserve"> </w:t>
      </w:r>
      <w:proofErr w:type="spellStart"/>
      <w:r w:rsidRPr="00C4500A">
        <w:t>University</w:t>
      </w:r>
      <w:proofErr w:type="spellEnd"/>
      <w:r w:rsidRPr="00C4500A">
        <w:t xml:space="preserve"> </w:t>
      </w:r>
      <w:r>
        <w:t>Rennes 1, LTSI, Rennes, France</w:t>
      </w:r>
    </w:p>
    <w:p w:rsidR="00235907" w:rsidRPr="00C4500A" w:rsidRDefault="00235907" w:rsidP="00C4500A"/>
    <w:p w:rsidR="007D0F8E" w:rsidRPr="000E51BC" w:rsidRDefault="007D0F8E" w:rsidP="007D0F8E">
      <w:pPr>
        <w:jc w:val="both"/>
        <w:rPr>
          <w:b/>
          <w:u w:val="single"/>
          <w:lang w:val="en-US"/>
        </w:rPr>
      </w:pPr>
      <w:r w:rsidRPr="000E51BC">
        <w:rPr>
          <w:b/>
          <w:u w:val="single"/>
          <w:lang w:val="en-US"/>
        </w:rPr>
        <w:t>Introduction</w:t>
      </w:r>
    </w:p>
    <w:p w:rsidR="007D0F8E" w:rsidRDefault="007D0F8E" w:rsidP="007D0F8E">
      <w:pPr>
        <w:jc w:val="both"/>
        <w:rPr>
          <w:rStyle w:val="transpan"/>
          <w:shd w:val="clear" w:color="auto" w:fill="EFEFEF"/>
          <w:lang w:val="en-US"/>
        </w:rPr>
      </w:pPr>
      <w:r w:rsidRPr="000E51BC">
        <w:rPr>
          <w:lang w:val="en-US"/>
        </w:rPr>
        <w:t xml:space="preserve">Intensity-Modulated Radiation Therapy (IMRT) allows a hyper-personalization of treatment to the patient’s anatomy. </w:t>
      </w:r>
      <w:r>
        <w:rPr>
          <w:lang w:val="en-US"/>
        </w:rPr>
        <w:t>T</w:t>
      </w:r>
      <w:r w:rsidRPr="000E51BC">
        <w:rPr>
          <w:lang w:val="en-US"/>
        </w:rPr>
        <w:t>he</w:t>
      </w:r>
      <w:r>
        <w:rPr>
          <w:lang w:val="en-US"/>
        </w:rPr>
        <w:t xml:space="preserve"> complexity of the clinical objectives yields a variability in treatment planning, especially between operators. A major</w:t>
      </w:r>
      <w:r w:rsidRPr="000E51BC">
        <w:rPr>
          <w:lang w:val="en-US"/>
        </w:rPr>
        <w:t xml:space="preserve"> difficult</w:t>
      </w:r>
      <w:r>
        <w:rPr>
          <w:lang w:val="en-US"/>
        </w:rPr>
        <w:t>y is actually</w:t>
      </w:r>
      <w:r w:rsidRPr="000E51BC">
        <w:rPr>
          <w:lang w:val="en-US"/>
        </w:rPr>
        <w:t xml:space="preserve"> to appreciate the optimality </w:t>
      </w:r>
      <w:r>
        <w:rPr>
          <w:lang w:val="en-US"/>
        </w:rPr>
        <w:t xml:space="preserve">of </w:t>
      </w:r>
      <w:r w:rsidRPr="000E51BC">
        <w:rPr>
          <w:lang w:val="en-US"/>
        </w:rPr>
        <w:t>treatment plan</w:t>
      </w:r>
      <w:r>
        <w:rPr>
          <w:lang w:val="en-US"/>
        </w:rPr>
        <w:t xml:space="preserve">s. </w:t>
      </w:r>
      <w:r w:rsidRPr="000E51BC">
        <w:rPr>
          <w:lang w:val="en-US"/>
        </w:rPr>
        <w:t>The aim of t</w:t>
      </w:r>
      <w:r>
        <w:rPr>
          <w:lang w:val="en-US"/>
        </w:rPr>
        <w:t>his</w:t>
      </w:r>
      <w:r w:rsidRPr="000E51BC">
        <w:rPr>
          <w:lang w:val="en-US"/>
        </w:rPr>
        <w:t xml:space="preserve"> study is to evaluate the benefits of</w:t>
      </w:r>
      <w:r>
        <w:rPr>
          <w:lang w:val="en-US"/>
        </w:rPr>
        <w:t xml:space="preserve"> a model which predicts the achievable mean dose to parotids during the treatment planning for head and neck (H&amp;N) treatment. </w:t>
      </w:r>
    </w:p>
    <w:p w:rsidR="00235907" w:rsidRPr="00B32607" w:rsidRDefault="00C70A47" w:rsidP="00235907">
      <w:pPr>
        <w:jc w:val="both"/>
        <w:rPr>
          <w:b/>
          <w:u w:val="single"/>
          <w:lang w:val="en-US"/>
        </w:rPr>
      </w:pPr>
      <w:r w:rsidRPr="00B32607">
        <w:rPr>
          <w:b/>
          <w:u w:val="single"/>
          <w:lang w:val="en-US"/>
        </w:rPr>
        <w:t>Materia</w:t>
      </w:r>
      <w:r w:rsidR="008C69A4">
        <w:rPr>
          <w:b/>
          <w:u w:val="single"/>
          <w:lang w:val="en-US"/>
        </w:rPr>
        <w:t>l</w:t>
      </w:r>
      <w:r w:rsidR="0012190B">
        <w:rPr>
          <w:b/>
          <w:u w:val="single"/>
          <w:lang w:val="en-US"/>
        </w:rPr>
        <w:t>s</w:t>
      </w:r>
      <w:r w:rsidR="008C69A4">
        <w:rPr>
          <w:b/>
          <w:u w:val="single"/>
          <w:lang w:val="en-US"/>
        </w:rPr>
        <w:t xml:space="preserve"> and</w:t>
      </w:r>
      <w:r w:rsidR="00235907" w:rsidRPr="00B32607">
        <w:rPr>
          <w:b/>
          <w:u w:val="single"/>
          <w:lang w:val="en-US"/>
        </w:rPr>
        <w:t xml:space="preserve"> m</w:t>
      </w:r>
      <w:r w:rsidRPr="00B32607">
        <w:rPr>
          <w:b/>
          <w:u w:val="single"/>
          <w:lang w:val="en-US"/>
        </w:rPr>
        <w:t>ethods</w:t>
      </w:r>
    </w:p>
    <w:p w:rsidR="00235907" w:rsidRDefault="009F1186" w:rsidP="00235907">
      <w:pPr>
        <w:jc w:val="both"/>
        <w:rPr>
          <w:lang w:val="en-US"/>
        </w:rPr>
      </w:pPr>
      <w:r>
        <w:rPr>
          <w:lang w:val="en-US"/>
        </w:rPr>
        <w:t>Treatment plans were</w:t>
      </w:r>
      <w:r w:rsidR="00B32607">
        <w:rPr>
          <w:lang w:val="en-US"/>
        </w:rPr>
        <w:t xml:space="preserve"> </w:t>
      </w:r>
      <w:r w:rsidR="00A71DEA">
        <w:rPr>
          <w:lang w:val="en-US"/>
        </w:rPr>
        <w:t>calculated</w:t>
      </w:r>
      <w:r w:rsidR="00B32607" w:rsidRPr="00B32607">
        <w:rPr>
          <w:lang w:val="en-US"/>
        </w:rPr>
        <w:t xml:space="preserve"> with Pinna</w:t>
      </w:r>
      <w:r w:rsidR="00B32607">
        <w:rPr>
          <w:lang w:val="en-US"/>
        </w:rPr>
        <w:t>c</w:t>
      </w:r>
      <w:r w:rsidR="00B32607" w:rsidRPr="00B32607">
        <w:rPr>
          <w:lang w:val="en-US"/>
        </w:rPr>
        <w:t xml:space="preserve">le </w:t>
      </w:r>
      <w:r w:rsidR="00235907" w:rsidRPr="00B32607">
        <w:rPr>
          <w:lang w:val="en-US"/>
        </w:rPr>
        <w:t>v.9.10 (Philips</w:t>
      </w:r>
      <w:r w:rsidR="00A71DEA">
        <w:rPr>
          <w:lang w:val="en-US"/>
        </w:rPr>
        <w:t>)</w:t>
      </w:r>
      <w:r w:rsidR="00A71DEA" w:rsidRPr="00A71DEA">
        <w:rPr>
          <w:lang w:val="en-US"/>
        </w:rPr>
        <w:t xml:space="preserve"> </w:t>
      </w:r>
      <w:r w:rsidR="00A71DEA">
        <w:rPr>
          <w:lang w:val="en-US"/>
        </w:rPr>
        <w:t>treatment planning s</w:t>
      </w:r>
      <w:r w:rsidR="00A71DEA" w:rsidRPr="00B32607">
        <w:rPr>
          <w:lang w:val="en-US"/>
        </w:rPr>
        <w:t>ystem</w:t>
      </w:r>
      <w:r w:rsidR="00A71DEA">
        <w:rPr>
          <w:lang w:val="en-US"/>
        </w:rPr>
        <w:t xml:space="preserve"> for</w:t>
      </w:r>
      <w:r w:rsidR="008F168F">
        <w:rPr>
          <w:lang w:val="en-US"/>
        </w:rPr>
        <w:t xml:space="preserve"> </w:t>
      </w:r>
      <w:r w:rsidR="00B32607">
        <w:rPr>
          <w:lang w:val="en-US"/>
        </w:rPr>
        <w:t>Volumetric Modulated Arc Therapy (VMAT) techni</w:t>
      </w:r>
      <w:r w:rsidR="00A71DEA">
        <w:rPr>
          <w:lang w:val="en-US"/>
        </w:rPr>
        <w:t>ques</w:t>
      </w:r>
      <w:r w:rsidR="00B32607">
        <w:rPr>
          <w:lang w:val="en-US"/>
        </w:rPr>
        <w:t>.</w:t>
      </w:r>
      <w:r w:rsidR="00C77DA8">
        <w:rPr>
          <w:lang w:val="en-US"/>
        </w:rPr>
        <w:t xml:space="preserve"> A predicti</w:t>
      </w:r>
      <w:r w:rsidR="00A71DEA">
        <w:rPr>
          <w:lang w:val="en-US"/>
        </w:rPr>
        <w:t>ve</w:t>
      </w:r>
      <w:r w:rsidR="00C77DA8">
        <w:rPr>
          <w:lang w:val="en-US"/>
        </w:rPr>
        <w:t xml:space="preserve"> model </w:t>
      </w:r>
      <w:r w:rsidR="00C77DA8" w:rsidRPr="00C77DA8">
        <w:rPr>
          <w:lang w:val="en-US"/>
        </w:rPr>
        <w:t xml:space="preserve">was </w:t>
      </w:r>
      <w:r w:rsidR="008C69A4" w:rsidRPr="00C77DA8">
        <w:rPr>
          <w:lang w:val="en-US"/>
        </w:rPr>
        <w:t>defined</w:t>
      </w:r>
      <w:r w:rsidR="00C77DA8" w:rsidRPr="00C77DA8">
        <w:rPr>
          <w:lang w:val="en-US"/>
        </w:rPr>
        <w:t xml:space="preserve"> </w:t>
      </w:r>
      <w:r w:rsidR="004F1C42">
        <w:rPr>
          <w:lang w:val="en-US"/>
        </w:rPr>
        <w:t>according to</w:t>
      </w:r>
      <w:r w:rsidR="008F168F">
        <w:rPr>
          <w:lang w:val="en-US"/>
        </w:rPr>
        <w:t xml:space="preserve"> the method </w:t>
      </w:r>
      <w:r w:rsidR="00A71DEA">
        <w:rPr>
          <w:lang w:val="en-US"/>
        </w:rPr>
        <w:t>proposed by</w:t>
      </w:r>
      <w:r w:rsidR="008F168F">
        <w:rPr>
          <w:lang w:val="en-US"/>
        </w:rPr>
        <w:t xml:space="preserve"> </w:t>
      </w:r>
      <w:r w:rsidR="00C77DA8">
        <w:rPr>
          <w:lang w:val="en-US"/>
        </w:rPr>
        <w:t xml:space="preserve">Moore </w:t>
      </w:r>
      <w:r w:rsidR="008F168F">
        <w:rPr>
          <w:lang w:val="en-US"/>
        </w:rPr>
        <w:t>et</w:t>
      </w:r>
      <w:r w:rsidR="00C77DA8">
        <w:rPr>
          <w:lang w:val="en-US"/>
        </w:rPr>
        <w:t xml:space="preserve"> al. [1]</w:t>
      </w:r>
      <w:r w:rsidR="008C69A4">
        <w:rPr>
          <w:lang w:val="en-US"/>
        </w:rPr>
        <w:t xml:space="preserve">, using </w:t>
      </w:r>
      <w:r w:rsidR="002A648E">
        <w:rPr>
          <w:lang w:val="en-US"/>
        </w:rPr>
        <w:t xml:space="preserve">the </w:t>
      </w:r>
      <w:r w:rsidR="008C69A4">
        <w:rPr>
          <w:lang w:val="en-US"/>
        </w:rPr>
        <w:t xml:space="preserve">overlap volume between parotid and Planning Target Volume (PTV). </w:t>
      </w:r>
    </w:p>
    <w:p w:rsidR="008F253A" w:rsidRPr="00370366" w:rsidRDefault="00BF2498" w:rsidP="008F253A">
      <w:pPr>
        <w:jc w:val="both"/>
        <w:rPr>
          <w:lang w:val="en-US"/>
        </w:rPr>
      </w:pPr>
      <w:r>
        <w:rPr>
          <w:lang w:val="en-US"/>
        </w:rPr>
        <w:t>Twenty</w:t>
      </w:r>
      <w:r w:rsidR="00BA3959">
        <w:rPr>
          <w:lang w:val="en-US"/>
        </w:rPr>
        <w:t xml:space="preserve"> patients treated for </w:t>
      </w:r>
      <w:r w:rsidR="001B1B69">
        <w:rPr>
          <w:lang w:val="en-US"/>
        </w:rPr>
        <w:t>H&amp;N</w:t>
      </w:r>
      <w:r w:rsidR="00BA3959">
        <w:rPr>
          <w:lang w:val="en-US"/>
        </w:rPr>
        <w:t xml:space="preserve"> cancer </w:t>
      </w:r>
      <w:r w:rsidR="001B1B69">
        <w:rPr>
          <w:lang w:val="en-US"/>
        </w:rPr>
        <w:t>with</w:t>
      </w:r>
      <w:r w:rsidR="00BA3959">
        <w:rPr>
          <w:lang w:val="en-US"/>
        </w:rPr>
        <w:t xml:space="preserve"> integrated boost</w:t>
      </w:r>
      <w:r w:rsidR="001B1B69">
        <w:rPr>
          <w:lang w:val="en-US"/>
        </w:rPr>
        <w:t xml:space="preserve"> technique</w:t>
      </w:r>
      <w:r w:rsidR="00BA3959">
        <w:rPr>
          <w:lang w:val="en-US"/>
        </w:rPr>
        <w:t xml:space="preserve"> were used to </w:t>
      </w:r>
      <w:r w:rsidR="001B1B69">
        <w:rPr>
          <w:lang w:val="en-US"/>
        </w:rPr>
        <w:t xml:space="preserve">generate </w:t>
      </w:r>
      <w:r w:rsidR="00BA3959">
        <w:rPr>
          <w:lang w:val="en-US"/>
        </w:rPr>
        <w:t xml:space="preserve">the model. These patients were </w:t>
      </w:r>
      <w:r w:rsidR="007D1A0B">
        <w:rPr>
          <w:lang w:val="en-US"/>
        </w:rPr>
        <w:t>divided into</w:t>
      </w:r>
      <w:r w:rsidR="00BA3959">
        <w:rPr>
          <w:lang w:val="en-US"/>
        </w:rPr>
        <w:t xml:space="preserve"> 3 groups: 10 patients with 3 </w:t>
      </w:r>
      <w:r w:rsidR="008F253A">
        <w:rPr>
          <w:lang w:val="en-US"/>
        </w:rPr>
        <w:t xml:space="preserve">levels of prescribed </w:t>
      </w:r>
      <w:r w:rsidR="008F253A" w:rsidRPr="008F253A">
        <w:rPr>
          <w:lang w:val="en-US"/>
        </w:rPr>
        <w:t xml:space="preserve">dose 70/63/56 </w:t>
      </w:r>
      <w:proofErr w:type="spellStart"/>
      <w:r w:rsidR="008F253A" w:rsidRPr="008F253A">
        <w:rPr>
          <w:lang w:val="en-US"/>
        </w:rPr>
        <w:t>Gy</w:t>
      </w:r>
      <w:proofErr w:type="spellEnd"/>
      <w:r w:rsidR="008F253A" w:rsidRPr="008F253A">
        <w:rPr>
          <w:lang w:val="en-US"/>
        </w:rPr>
        <w:t>,</w:t>
      </w:r>
      <w:r w:rsidR="008F253A">
        <w:rPr>
          <w:lang w:val="en-US"/>
        </w:rPr>
        <w:t xml:space="preserve"> 5 patients with 3 levels of prescribed </w:t>
      </w:r>
      <w:r w:rsidR="008F253A" w:rsidRPr="008F253A">
        <w:rPr>
          <w:lang w:val="en-US"/>
        </w:rPr>
        <w:t>dose 66/59</w:t>
      </w:r>
      <w:r w:rsidR="00CC3EE0">
        <w:rPr>
          <w:lang w:val="en-US"/>
        </w:rPr>
        <w:t>.</w:t>
      </w:r>
      <w:r w:rsidR="008F253A" w:rsidRPr="008F253A">
        <w:rPr>
          <w:lang w:val="en-US"/>
        </w:rPr>
        <w:t>4/54</w:t>
      </w:r>
      <w:r w:rsidR="00CC3EE0">
        <w:rPr>
          <w:lang w:val="en-US"/>
        </w:rPr>
        <w:t>.</w:t>
      </w:r>
      <w:r w:rsidR="008F253A" w:rsidRPr="008F253A">
        <w:rPr>
          <w:lang w:val="en-US"/>
        </w:rPr>
        <w:t xml:space="preserve">1 </w:t>
      </w:r>
      <w:proofErr w:type="spellStart"/>
      <w:r w:rsidR="008F253A" w:rsidRPr="008F253A">
        <w:rPr>
          <w:lang w:val="en-US"/>
        </w:rPr>
        <w:t>Gy</w:t>
      </w:r>
      <w:proofErr w:type="spellEnd"/>
      <w:r w:rsidR="008F253A" w:rsidRPr="008F253A">
        <w:rPr>
          <w:lang w:val="en-US"/>
        </w:rPr>
        <w:t xml:space="preserve"> </w:t>
      </w:r>
      <w:r w:rsidR="0085286F" w:rsidRPr="0085286F">
        <w:rPr>
          <w:lang w:val="en-US"/>
        </w:rPr>
        <w:t>(post-operative</w:t>
      </w:r>
      <w:r w:rsidR="0085286F">
        <w:rPr>
          <w:lang w:val="en-US"/>
        </w:rPr>
        <w:t xml:space="preserve">) </w:t>
      </w:r>
      <w:r w:rsidR="008F253A">
        <w:rPr>
          <w:lang w:val="en-US"/>
        </w:rPr>
        <w:t>and 5 patients with 2 levels of prescribe</w:t>
      </w:r>
      <w:r w:rsidR="00EC27C7">
        <w:rPr>
          <w:lang w:val="en-US"/>
        </w:rPr>
        <w:t>d</w:t>
      </w:r>
      <w:r w:rsidR="008F253A">
        <w:rPr>
          <w:lang w:val="en-US"/>
        </w:rPr>
        <w:t xml:space="preserve"> </w:t>
      </w:r>
      <w:r w:rsidR="008F253A" w:rsidRPr="008F253A">
        <w:rPr>
          <w:lang w:val="en-US"/>
        </w:rPr>
        <w:t xml:space="preserve">dose 60/54 </w:t>
      </w:r>
      <w:proofErr w:type="spellStart"/>
      <w:r w:rsidR="008F253A" w:rsidRPr="008F253A">
        <w:rPr>
          <w:lang w:val="en-US"/>
        </w:rPr>
        <w:t>Gy</w:t>
      </w:r>
      <w:proofErr w:type="spellEnd"/>
      <w:r w:rsidR="008F253A" w:rsidRPr="008F253A">
        <w:rPr>
          <w:lang w:val="en-US"/>
        </w:rPr>
        <w:t xml:space="preserve"> </w:t>
      </w:r>
      <w:r w:rsidR="0085286F" w:rsidRPr="0085286F">
        <w:rPr>
          <w:lang w:val="en-US"/>
        </w:rPr>
        <w:t>(post-operative</w:t>
      </w:r>
      <w:r w:rsidR="008F253A" w:rsidRPr="0085286F">
        <w:rPr>
          <w:lang w:val="en-US"/>
        </w:rPr>
        <w:t>).</w:t>
      </w:r>
      <w:r w:rsidR="00902B9F">
        <w:rPr>
          <w:lang w:val="en-US"/>
        </w:rPr>
        <w:t xml:space="preserve"> </w:t>
      </w:r>
      <w:r w:rsidR="001B1B69">
        <w:rPr>
          <w:lang w:val="en-US"/>
        </w:rPr>
        <w:t xml:space="preserve">Then 10 </w:t>
      </w:r>
      <w:r w:rsidR="000934EC">
        <w:rPr>
          <w:lang w:val="en-US"/>
        </w:rPr>
        <w:t>treatment</w:t>
      </w:r>
      <w:r w:rsidR="001B1B69">
        <w:rPr>
          <w:lang w:val="en-US"/>
        </w:rPr>
        <w:t xml:space="preserve"> plans were calculated</w:t>
      </w:r>
      <w:r w:rsidR="000934EC">
        <w:rPr>
          <w:lang w:val="en-US"/>
        </w:rPr>
        <w:t xml:space="preserve"> with and without the model: 8 patients with 3 levels of prescribed </w:t>
      </w:r>
      <w:r w:rsidR="000934EC" w:rsidRPr="008F253A">
        <w:rPr>
          <w:lang w:val="en-US"/>
        </w:rPr>
        <w:t xml:space="preserve">dose 70/63/56 </w:t>
      </w:r>
      <w:proofErr w:type="spellStart"/>
      <w:r w:rsidR="000934EC" w:rsidRPr="008F253A">
        <w:rPr>
          <w:lang w:val="en-US"/>
        </w:rPr>
        <w:t>Gy</w:t>
      </w:r>
      <w:proofErr w:type="spellEnd"/>
      <w:r w:rsidR="000934EC">
        <w:rPr>
          <w:lang w:val="en-US"/>
        </w:rPr>
        <w:t xml:space="preserve"> and 2 patients with 2 levels of prescribed </w:t>
      </w:r>
      <w:r w:rsidR="000934EC" w:rsidRPr="008F253A">
        <w:rPr>
          <w:lang w:val="en-US"/>
        </w:rPr>
        <w:t xml:space="preserve">dose 60/54 </w:t>
      </w:r>
      <w:proofErr w:type="spellStart"/>
      <w:r w:rsidR="000934EC" w:rsidRPr="008F253A">
        <w:rPr>
          <w:lang w:val="en-US"/>
        </w:rPr>
        <w:t>Gy</w:t>
      </w:r>
      <w:proofErr w:type="spellEnd"/>
      <w:r w:rsidR="000934EC">
        <w:rPr>
          <w:lang w:val="en-US"/>
        </w:rPr>
        <w:t xml:space="preserve">. </w:t>
      </w:r>
      <w:r w:rsidR="001B1B69">
        <w:rPr>
          <w:lang w:val="en-US"/>
        </w:rPr>
        <w:t>Dose distribution for both plans</w:t>
      </w:r>
      <w:r w:rsidR="00370366">
        <w:rPr>
          <w:lang w:val="en-US"/>
        </w:rPr>
        <w:t xml:space="preserve"> were normalized to </w:t>
      </w:r>
      <w:r w:rsidR="00C726EE">
        <w:rPr>
          <w:lang w:val="en-US"/>
        </w:rPr>
        <w:t>obtain</w:t>
      </w:r>
      <w:r w:rsidR="00370366">
        <w:rPr>
          <w:lang w:val="en-US"/>
        </w:rPr>
        <w:t xml:space="preserve"> the same conformation </w:t>
      </w:r>
      <w:r w:rsidR="006A130A">
        <w:rPr>
          <w:lang w:val="en-US"/>
        </w:rPr>
        <w:t>of</w:t>
      </w:r>
      <w:r w:rsidR="00370366">
        <w:rPr>
          <w:lang w:val="en-US"/>
        </w:rPr>
        <w:t xml:space="preserve"> 95% </w:t>
      </w:r>
      <w:proofErr w:type="spellStart"/>
      <w:r w:rsidR="00370366">
        <w:rPr>
          <w:lang w:val="en-US"/>
        </w:rPr>
        <w:t>isodose</w:t>
      </w:r>
      <w:proofErr w:type="spellEnd"/>
      <w:r w:rsidR="00370366">
        <w:rPr>
          <w:lang w:val="en-US"/>
        </w:rPr>
        <w:t xml:space="preserve"> in PTV with high dose level. </w:t>
      </w:r>
      <w:r w:rsidR="001B1B69">
        <w:rPr>
          <w:lang w:val="en-US"/>
        </w:rPr>
        <w:t>Each treatment plan was</w:t>
      </w:r>
      <w:r w:rsidR="001B1B69" w:rsidRPr="00370366">
        <w:rPr>
          <w:lang w:val="en-US"/>
        </w:rPr>
        <w:t xml:space="preserve"> </w:t>
      </w:r>
      <w:r w:rsidR="00370366" w:rsidRPr="00370366">
        <w:rPr>
          <w:lang w:val="en-US"/>
        </w:rPr>
        <w:t xml:space="preserve">validated by </w:t>
      </w:r>
      <w:r w:rsidR="001B1B69">
        <w:rPr>
          <w:lang w:val="en-US"/>
        </w:rPr>
        <w:t>physician</w:t>
      </w:r>
      <w:r w:rsidR="00370366" w:rsidRPr="00370366">
        <w:rPr>
          <w:lang w:val="en-US"/>
        </w:rPr>
        <w:t xml:space="preserve">. </w:t>
      </w:r>
      <w:r w:rsidR="00AA377F">
        <w:rPr>
          <w:lang w:val="en-US"/>
        </w:rPr>
        <w:t xml:space="preserve">The </w:t>
      </w:r>
      <w:r w:rsidR="00105B80">
        <w:rPr>
          <w:lang w:val="en-US"/>
        </w:rPr>
        <w:t>evaluation</w:t>
      </w:r>
      <w:r w:rsidR="00AA377F">
        <w:rPr>
          <w:lang w:val="en-US"/>
        </w:rPr>
        <w:t xml:space="preserve"> was </w:t>
      </w:r>
      <w:r w:rsidR="00105B80">
        <w:rPr>
          <w:lang w:val="en-US"/>
        </w:rPr>
        <w:t xml:space="preserve">based on a comparison of </w:t>
      </w:r>
      <w:r w:rsidR="00370366" w:rsidRPr="00370366">
        <w:rPr>
          <w:lang w:val="en-US"/>
        </w:rPr>
        <w:t xml:space="preserve">doses to PTV, </w:t>
      </w:r>
      <w:r w:rsidR="00AA377F">
        <w:rPr>
          <w:lang w:val="en-US"/>
        </w:rPr>
        <w:t xml:space="preserve">to </w:t>
      </w:r>
      <w:r w:rsidR="00370366" w:rsidRPr="00370366">
        <w:rPr>
          <w:lang w:val="en-US"/>
        </w:rPr>
        <w:t>parotids</w:t>
      </w:r>
      <w:r w:rsidR="00B81830">
        <w:rPr>
          <w:lang w:val="en-US"/>
        </w:rPr>
        <w:t xml:space="preserve"> and</w:t>
      </w:r>
      <w:r w:rsidR="00370366" w:rsidRPr="00370366">
        <w:rPr>
          <w:lang w:val="en-US"/>
        </w:rPr>
        <w:t xml:space="preserve"> </w:t>
      </w:r>
      <w:r w:rsidR="00AA377F">
        <w:rPr>
          <w:lang w:val="en-US"/>
        </w:rPr>
        <w:t xml:space="preserve">to </w:t>
      </w:r>
      <w:r w:rsidR="00370366">
        <w:rPr>
          <w:lang w:val="en-US"/>
        </w:rPr>
        <w:t xml:space="preserve">spinal cord </w:t>
      </w:r>
      <w:r w:rsidR="00B55AF3">
        <w:rPr>
          <w:lang w:val="en-US"/>
        </w:rPr>
        <w:t xml:space="preserve">PRV </w:t>
      </w:r>
      <w:r w:rsidR="00370366">
        <w:rPr>
          <w:lang w:val="en-US"/>
        </w:rPr>
        <w:t xml:space="preserve">(spinal cord + 3 mm), </w:t>
      </w:r>
      <w:r w:rsidR="00F302C7">
        <w:rPr>
          <w:lang w:val="en-US"/>
        </w:rPr>
        <w:t xml:space="preserve">indexes of </w:t>
      </w:r>
      <w:r w:rsidR="00370366">
        <w:rPr>
          <w:lang w:val="en-US"/>
        </w:rPr>
        <w:t xml:space="preserve">conformity (CI) and homogeneity (HI) and </w:t>
      </w:r>
      <w:r w:rsidR="00886F64">
        <w:rPr>
          <w:lang w:val="en-US"/>
        </w:rPr>
        <w:t xml:space="preserve">the number of </w:t>
      </w:r>
      <w:r w:rsidR="00370366">
        <w:rPr>
          <w:lang w:val="en-US"/>
        </w:rPr>
        <w:t xml:space="preserve">Monitor Units (MU). </w:t>
      </w:r>
    </w:p>
    <w:p w:rsidR="00235907" w:rsidRPr="007D0F8E" w:rsidRDefault="00370366" w:rsidP="00235907">
      <w:pPr>
        <w:jc w:val="both"/>
        <w:rPr>
          <w:b/>
          <w:u w:val="single"/>
          <w:lang w:val="en-US"/>
        </w:rPr>
      </w:pPr>
      <w:r w:rsidRPr="007D0F8E">
        <w:rPr>
          <w:b/>
          <w:u w:val="single"/>
          <w:lang w:val="en-US"/>
        </w:rPr>
        <w:t>R</w:t>
      </w:r>
      <w:r w:rsidR="00235907" w:rsidRPr="007D0F8E">
        <w:rPr>
          <w:b/>
          <w:u w:val="single"/>
          <w:lang w:val="en-US"/>
        </w:rPr>
        <w:t>esults</w:t>
      </w:r>
    </w:p>
    <w:p w:rsidR="00C726EE" w:rsidRPr="00C726EE" w:rsidRDefault="00C726EE" w:rsidP="00235907">
      <w:pPr>
        <w:jc w:val="both"/>
        <w:rPr>
          <w:lang w:val="en-US"/>
        </w:rPr>
      </w:pPr>
      <w:r w:rsidRPr="00C726EE">
        <w:rPr>
          <w:lang w:val="en-US"/>
        </w:rPr>
        <w:t>T</w:t>
      </w:r>
      <w:r w:rsidR="00105B80">
        <w:rPr>
          <w:lang w:val="en-US"/>
        </w:rPr>
        <w:t>able 1 shows the results treatment plans</w:t>
      </w:r>
      <w:r w:rsidRPr="00C726EE">
        <w:rPr>
          <w:lang w:val="en-US"/>
        </w:rPr>
        <w:t xml:space="preserve"> with and without </w:t>
      </w:r>
      <w:r w:rsidR="00507240">
        <w:rPr>
          <w:lang w:val="en-US"/>
        </w:rPr>
        <w:t xml:space="preserve">the prediction model. </w:t>
      </w:r>
      <w:r w:rsidR="00105B80">
        <w:rPr>
          <w:lang w:val="en-US"/>
        </w:rPr>
        <w:t xml:space="preserve">On average, mean dose to parotids decreased of -5.3 </w:t>
      </w:r>
      <w:proofErr w:type="spellStart"/>
      <w:r w:rsidR="00105B80">
        <w:rPr>
          <w:lang w:val="en-US"/>
        </w:rPr>
        <w:t>Gy</w:t>
      </w:r>
      <w:proofErr w:type="spellEnd"/>
      <w:r w:rsidR="00234880">
        <w:rPr>
          <w:lang w:val="en-US"/>
        </w:rPr>
        <w:t xml:space="preserve"> </w:t>
      </w:r>
      <w:r w:rsidR="00105B80">
        <w:rPr>
          <w:lang w:val="en-US"/>
        </w:rPr>
        <w:t>u</w:t>
      </w:r>
      <w:r w:rsidR="00263250">
        <w:rPr>
          <w:lang w:val="en-US"/>
        </w:rPr>
        <w:t>s</w:t>
      </w:r>
      <w:r w:rsidR="00105B80">
        <w:rPr>
          <w:lang w:val="en-US"/>
        </w:rPr>
        <w:t>ing</w:t>
      </w:r>
      <w:r w:rsidR="00263250">
        <w:rPr>
          <w:lang w:val="en-US"/>
        </w:rPr>
        <w:t xml:space="preserve"> </w:t>
      </w:r>
      <w:r w:rsidR="00990512">
        <w:rPr>
          <w:lang w:val="en-US"/>
        </w:rPr>
        <w:t>the model</w:t>
      </w:r>
      <w:r w:rsidR="00105B80">
        <w:rPr>
          <w:lang w:val="en-US"/>
        </w:rPr>
        <w:t xml:space="preserve">. </w:t>
      </w:r>
      <w:r w:rsidR="00A16FFD">
        <w:rPr>
          <w:lang w:val="en-US"/>
        </w:rPr>
        <w:t xml:space="preserve">Conformity index and maximal dose to </w:t>
      </w:r>
      <w:r w:rsidR="00CF7C92">
        <w:rPr>
          <w:lang w:val="en-US"/>
        </w:rPr>
        <w:t xml:space="preserve">the </w:t>
      </w:r>
      <w:r w:rsidR="00A16FFD">
        <w:rPr>
          <w:lang w:val="en-US"/>
        </w:rPr>
        <w:t xml:space="preserve">spinal cord </w:t>
      </w:r>
      <w:r w:rsidR="007A233B">
        <w:rPr>
          <w:lang w:val="en-US"/>
        </w:rPr>
        <w:t xml:space="preserve">PRV </w:t>
      </w:r>
      <w:r w:rsidR="00105B80">
        <w:rPr>
          <w:lang w:val="en-US"/>
        </w:rPr>
        <w:t xml:space="preserve">were </w:t>
      </w:r>
      <w:r w:rsidR="00DB425E">
        <w:rPr>
          <w:lang w:val="en-US"/>
        </w:rPr>
        <w:t>similar</w:t>
      </w:r>
      <w:r w:rsidR="00A16FFD">
        <w:rPr>
          <w:lang w:val="en-US"/>
        </w:rPr>
        <w:t xml:space="preserve"> </w:t>
      </w:r>
      <w:r w:rsidR="00105B80">
        <w:rPr>
          <w:lang w:val="en-US"/>
        </w:rPr>
        <w:t xml:space="preserve">with </w:t>
      </w:r>
      <w:r w:rsidR="00DB425E">
        <w:rPr>
          <w:lang w:val="en-US"/>
        </w:rPr>
        <w:t xml:space="preserve">the </w:t>
      </w:r>
      <w:r w:rsidR="00105B80">
        <w:rPr>
          <w:lang w:val="en-US"/>
        </w:rPr>
        <w:t>tow</w:t>
      </w:r>
      <w:r w:rsidR="00A16FFD">
        <w:rPr>
          <w:lang w:val="en-US"/>
        </w:rPr>
        <w:t xml:space="preserve"> methods. However, plans </w:t>
      </w:r>
      <w:r w:rsidR="00D2792F">
        <w:rPr>
          <w:lang w:val="en-US"/>
        </w:rPr>
        <w:t>obtained by using the</w:t>
      </w:r>
      <w:r w:rsidR="007B0B14">
        <w:rPr>
          <w:lang w:val="en-US"/>
        </w:rPr>
        <w:t xml:space="preserve"> </w:t>
      </w:r>
      <w:r w:rsidR="00A16FFD">
        <w:rPr>
          <w:lang w:val="en-US"/>
        </w:rPr>
        <w:t>prediction model show</w:t>
      </w:r>
      <w:r w:rsidR="00250E28">
        <w:rPr>
          <w:lang w:val="en-US"/>
        </w:rPr>
        <w:t xml:space="preserve"> less homogeneity in the</w:t>
      </w:r>
      <w:r w:rsidR="00A16FFD">
        <w:rPr>
          <w:lang w:val="en-US"/>
        </w:rPr>
        <w:t xml:space="preserve"> doses </w:t>
      </w:r>
      <w:r w:rsidR="009A72BE">
        <w:rPr>
          <w:lang w:val="en-US"/>
        </w:rPr>
        <w:t xml:space="preserve">to PTV. Furthermore, </w:t>
      </w:r>
      <w:r w:rsidR="00105B80">
        <w:rPr>
          <w:lang w:val="en-US"/>
        </w:rPr>
        <w:t>these plans had generally more</w:t>
      </w:r>
      <w:r w:rsidR="009A72BE">
        <w:rPr>
          <w:lang w:val="en-US"/>
        </w:rPr>
        <w:t xml:space="preserve"> MU</w:t>
      </w:r>
      <w:r w:rsidR="00D555DC">
        <w:rPr>
          <w:lang w:val="en-US"/>
        </w:rPr>
        <w:t xml:space="preserve">: +13% </w:t>
      </w:r>
      <w:r w:rsidR="008E3A1C">
        <w:rPr>
          <w:lang w:val="en-US"/>
        </w:rPr>
        <w:t>on average</w:t>
      </w:r>
      <w:r w:rsidR="00D555DC">
        <w:rPr>
          <w:lang w:val="en-US"/>
        </w:rPr>
        <w:t xml:space="preserve"> </w:t>
      </w:r>
      <w:r w:rsidR="00CD1452">
        <w:rPr>
          <w:lang w:val="en-US"/>
        </w:rPr>
        <w:t>[-3</w:t>
      </w:r>
      <w:r w:rsidR="008E3A1C">
        <w:rPr>
          <w:lang w:val="en-US"/>
        </w:rPr>
        <w:t>.</w:t>
      </w:r>
      <w:r w:rsidR="00CD1452">
        <w:rPr>
          <w:lang w:val="en-US"/>
        </w:rPr>
        <w:t xml:space="preserve">1%; </w:t>
      </w:r>
      <w:r w:rsidR="008E3A1C">
        <w:rPr>
          <w:lang w:val="en-US"/>
        </w:rPr>
        <w:t>+</w:t>
      </w:r>
      <w:r w:rsidR="00CD1452">
        <w:rPr>
          <w:lang w:val="en-US"/>
        </w:rPr>
        <w:t>32</w:t>
      </w:r>
      <w:r w:rsidR="008E3A1C">
        <w:rPr>
          <w:lang w:val="en-US"/>
        </w:rPr>
        <w:t>.</w:t>
      </w:r>
      <w:r w:rsidR="00CD1452">
        <w:rPr>
          <w:lang w:val="en-US"/>
        </w:rPr>
        <w:t>6</w:t>
      </w:r>
      <w:r w:rsidR="009A72BE" w:rsidRPr="009A72BE">
        <w:rPr>
          <w:lang w:val="en-US"/>
        </w:rPr>
        <w:t>%]</w:t>
      </w:r>
      <w:r w:rsidR="00FF09F0">
        <w:rPr>
          <w:lang w:val="en-US"/>
        </w:rPr>
        <w:t xml:space="preserve">, which </w:t>
      </w:r>
      <w:r w:rsidR="00410DC6">
        <w:rPr>
          <w:lang w:val="en-US"/>
        </w:rPr>
        <w:t xml:space="preserve">indicates an increased complexity </w:t>
      </w:r>
      <w:r w:rsidR="003D04E6">
        <w:rPr>
          <w:lang w:val="en-US"/>
        </w:rPr>
        <w:t>in</w:t>
      </w:r>
      <w:r w:rsidR="00410DC6">
        <w:rPr>
          <w:lang w:val="en-US"/>
        </w:rPr>
        <w:t xml:space="preserve"> the generated plans</w:t>
      </w:r>
      <w:r w:rsidR="00FF09F0">
        <w:rPr>
          <w:lang w:val="en-US"/>
        </w:rPr>
        <w:t xml:space="preserve">. </w:t>
      </w:r>
    </w:p>
    <w:p w:rsidR="00235907" w:rsidRPr="00EC27C7" w:rsidRDefault="00235907" w:rsidP="00235907">
      <w:pPr>
        <w:jc w:val="both"/>
        <w:rPr>
          <w:b/>
          <w:u w:val="single"/>
          <w:lang w:val="en-US"/>
        </w:rPr>
      </w:pPr>
      <w:r w:rsidRPr="00EC27C7">
        <w:rPr>
          <w:b/>
          <w:u w:val="single"/>
          <w:lang w:val="en-US"/>
        </w:rPr>
        <w:t>Conclusion</w:t>
      </w:r>
    </w:p>
    <w:p w:rsidR="00EC27C7" w:rsidRDefault="00EC27C7" w:rsidP="00235907">
      <w:pPr>
        <w:jc w:val="both"/>
        <w:rPr>
          <w:lang w:val="en-US"/>
        </w:rPr>
      </w:pPr>
      <w:r w:rsidRPr="00EC27C7">
        <w:rPr>
          <w:lang w:val="en-US"/>
        </w:rPr>
        <w:t>This study</w:t>
      </w:r>
      <w:r w:rsidR="00D555DC">
        <w:rPr>
          <w:lang w:val="en-US"/>
        </w:rPr>
        <w:t xml:space="preserve"> show</w:t>
      </w:r>
      <w:r w:rsidR="003509F3">
        <w:rPr>
          <w:lang w:val="en-US"/>
        </w:rPr>
        <w:t>ed</w:t>
      </w:r>
      <w:r w:rsidRPr="00EC27C7">
        <w:rPr>
          <w:lang w:val="en-US"/>
        </w:rPr>
        <w:t xml:space="preserve"> the feasibility </w:t>
      </w:r>
      <w:r>
        <w:rPr>
          <w:lang w:val="en-US"/>
        </w:rPr>
        <w:t xml:space="preserve">of using </w:t>
      </w:r>
      <w:r w:rsidR="00BB0E91">
        <w:rPr>
          <w:lang w:val="en-US"/>
        </w:rPr>
        <w:t>our own</w:t>
      </w:r>
      <w:r>
        <w:rPr>
          <w:lang w:val="en-US"/>
        </w:rPr>
        <w:t xml:space="preserve"> predicti</w:t>
      </w:r>
      <w:r w:rsidR="00BB0E91">
        <w:rPr>
          <w:lang w:val="en-US"/>
        </w:rPr>
        <w:t>ve</w:t>
      </w:r>
      <w:r>
        <w:rPr>
          <w:lang w:val="en-US"/>
        </w:rPr>
        <w:t xml:space="preserve"> model to reduce significa</w:t>
      </w:r>
      <w:r w:rsidR="003B49F1">
        <w:rPr>
          <w:lang w:val="en-US"/>
        </w:rPr>
        <w:t xml:space="preserve">ntly </w:t>
      </w:r>
      <w:r w:rsidR="00524F21">
        <w:rPr>
          <w:lang w:val="en-US"/>
        </w:rPr>
        <w:t>the dose</w:t>
      </w:r>
      <w:r w:rsidR="00BB0E91">
        <w:rPr>
          <w:lang w:val="en-US"/>
        </w:rPr>
        <w:t xml:space="preserve"> received by the</w:t>
      </w:r>
      <w:r w:rsidR="00524F21">
        <w:rPr>
          <w:lang w:val="en-US"/>
        </w:rPr>
        <w:t xml:space="preserve"> </w:t>
      </w:r>
      <w:r w:rsidR="003B49F1">
        <w:rPr>
          <w:lang w:val="en-US"/>
        </w:rPr>
        <w:t xml:space="preserve">parotids </w:t>
      </w:r>
      <w:r w:rsidR="00BB0E91">
        <w:rPr>
          <w:lang w:val="en-US"/>
        </w:rPr>
        <w:t xml:space="preserve">in case of </w:t>
      </w:r>
      <w:r w:rsidR="00A71DEA">
        <w:rPr>
          <w:lang w:val="en-US"/>
        </w:rPr>
        <w:t>H&amp;N treatment</w:t>
      </w:r>
      <w:r w:rsidR="00BB0E91">
        <w:rPr>
          <w:lang w:val="en-US"/>
        </w:rPr>
        <w:t>s</w:t>
      </w:r>
      <w:r w:rsidR="00F40539">
        <w:rPr>
          <w:lang w:val="en-US"/>
        </w:rPr>
        <w:t xml:space="preserve">, </w:t>
      </w:r>
      <w:r w:rsidR="00524F21">
        <w:rPr>
          <w:lang w:val="en-US"/>
        </w:rPr>
        <w:t>with</w:t>
      </w:r>
      <w:r w:rsidR="00F40539">
        <w:rPr>
          <w:lang w:val="en-US"/>
        </w:rPr>
        <w:t xml:space="preserve"> potential clinical benefit</w:t>
      </w:r>
      <w:r w:rsidR="00524F21">
        <w:rPr>
          <w:lang w:val="en-US"/>
        </w:rPr>
        <w:t>s</w:t>
      </w:r>
      <w:r w:rsidR="00F40539">
        <w:rPr>
          <w:lang w:val="en-US"/>
        </w:rPr>
        <w:t xml:space="preserve">. </w:t>
      </w:r>
    </w:p>
    <w:p w:rsidR="003B49F1" w:rsidRPr="00F40539" w:rsidRDefault="00103698" w:rsidP="00235907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9A1B96">
        <w:rPr>
          <w:lang w:val="en-US"/>
        </w:rPr>
        <w:t>suggested</w:t>
      </w:r>
      <w:r w:rsidR="00F40539" w:rsidRPr="00F40539">
        <w:rPr>
          <w:lang w:val="en-US"/>
        </w:rPr>
        <w:t xml:space="preserve"> model</w:t>
      </w:r>
      <w:r w:rsidR="00F40539">
        <w:rPr>
          <w:lang w:val="en-US"/>
        </w:rPr>
        <w:t xml:space="preserve"> </w:t>
      </w:r>
      <w:r w:rsidR="00632A31">
        <w:rPr>
          <w:lang w:val="en-US"/>
        </w:rPr>
        <w:t xml:space="preserve">provides a target on </w:t>
      </w:r>
      <w:r w:rsidR="00F40539">
        <w:rPr>
          <w:lang w:val="en-US"/>
        </w:rPr>
        <w:t xml:space="preserve">mean dose to parotids at the beginning of treatment planning: </w:t>
      </w:r>
      <w:r w:rsidR="00EF1D77">
        <w:rPr>
          <w:lang w:val="en-US"/>
        </w:rPr>
        <w:t xml:space="preserve">integrating this method in the workflow of treatment planning </w:t>
      </w:r>
      <w:r w:rsidR="00BB0E91">
        <w:rPr>
          <w:lang w:val="en-US"/>
        </w:rPr>
        <w:t xml:space="preserve">should yield a </w:t>
      </w:r>
      <w:r w:rsidR="00F40539">
        <w:rPr>
          <w:lang w:val="en-US"/>
        </w:rPr>
        <w:t xml:space="preserve">time </w:t>
      </w:r>
      <w:r w:rsidR="00BB0E91">
        <w:rPr>
          <w:lang w:val="en-US"/>
        </w:rPr>
        <w:t xml:space="preserve">reduction </w:t>
      </w:r>
      <w:r w:rsidR="00F40539">
        <w:rPr>
          <w:lang w:val="en-US"/>
        </w:rPr>
        <w:t xml:space="preserve">and </w:t>
      </w:r>
      <w:r w:rsidR="00BB0E91">
        <w:rPr>
          <w:lang w:val="en-US"/>
        </w:rPr>
        <w:t>less</w:t>
      </w:r>
      <w:r w:rsidR="00EF1D77">
        <w:rPr>
          <w:lang w:val="en-US"/>
        </w:rPr>
        <w:t xml:space="preserve"> </w:t>
      </w:r>
      <w:r w:rsidR="00F40539">
        <w:rPr>
          <w:lang w:val="en-US"/>
        </w:rPr>
        <w:t>inter-operator variability</w:t>
      </w:r>
      <w:r w:rsidR="0031577E">
        <w:rPr>
          <w:lang w:val="en-US"/>
        </w:rPr>
        <w:t xml:space="preserve">. </w:t>
      </w:r>
    </w:p>
    <w:tbl>
      <w:tblPr>
        <w:tblStyle w:val="Grilledutableau"/>
        <w:tblW w:w="9732" w:type="dxa"/>
        <w:tblInd w:w="15" w:type="dxa"/>
        <w:tblLook w:val="04A0" w:firstRow="1" w:lastRow="0" w:firstColumn="1" w:lastColumn="0" w:noHBand="0" w:noVBand="1"/>
      </w:tblPr>
      <w:tblGrid>
        <w:gridCol w:w="2542"/>
        <w:gridCol w:w="1150"/>
        <w:gridCol w:w="2115"/>
        <w:gridCol w:w="2410"/>
        <w:gridCol w:w="1515"/>
      </w:tblGrid>
      <w:tr w:rsidR="00235907" w:rsidRPr="00235907" w:rsidTr="000E51BC">
        <w:trPr>
          <w:trHeight w:val="525"/>
        </w:trPr>
        <w:tc>
          <w:tcPr>
            <w:tcW w:w="25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907" w:rsidRPr="0031577E" w:rsidRDefault="00235907" w:rsidP="00680D2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1577E" w:rsidRDefault="00235907" w:rsidP="00680D2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07" w:rsidRPr="00C70A47" w:rsidRDefault="00C70A47" w:rsidP="00680D20">
            <w:pPr>
              <w:jc w:val="center"/>
              <w:rPr>
                <w:b/>
              </w:rPr>
            </w:pPr>
            <w:proofErr w:type="spellStart"/>
            <w:r w:rsidRPr="00C70A47">
              <w:rPr>
                <w:b/>
              </w:rPr>
              <w:t>Without</w:t>
            </w:r>
            <w:proofErr w:type="spellEnd"/>
            <w:r w:rsidR="00D041D2">
              <w:rPr>
                <w:b/>
              </w:rPr>
              <w:t xml:space="preserve"> mod</w:t>
            </w:r>
            <w:r w:rsidR="00235907" w:rsidRPr="00C70A47">
              <w:rPr>
                <w:b/>
              </w:rPr>
              <w:t>e</w:t>
            </w:r>
            <w:r w:rsidR="00D041D2">
              <w:rPr>
                <w:b/>
              </w:rPr>
              <w:t>l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907" w:rsidRPr="001B2EC8" w:rsidRDefault="00C70A47" w:rsidP="00680D20">
            <w:pPr>
              <w:jc w:val="center"/>
              <w:rPr>
                <w:b/>
              </w:rPr>
            </w:pPr>
            <w:proofErr w:type="spellStart"/>
            <w:r w:rsidRPr="001B2EC8">
              <w:rPr>
                <w:b/>
              </w:rPr>
              <w:t>With</w:t>
            </w:r>
            <w:proofErr w:type="spellEnd"/>
            <w:r w:rsidR="00235907" w:rsidRPr="001B2EC8">
              <w:rPr>
                <w:b/>
              </w:rPr>
              <w:t xml:space="preserve"> mo</w:t>
            </w:r>
            <w:r w:rsidR="00D041D2">
              <w:rPr>
                <w:b/>
              </w:rPr>
              <w:t>del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1B2EC8" w:rsidRDefault="001B2EC8" w:rsidP="00680D20">
            <w:pPr>
              <w:jc w:val="center"/>
              <w:rPr>
                <w:b/>
              </w:rPr>
            </w:pPr>
            <w:r w:rsidRPr="001B2EC8">
              <w:rPr>
                <w:b/>
              </w:rPr>
              <w:t>Target value</w:t>
            </w:r>
          </w:p>
        </w:tc>
      </w:tr>
      <w:tr w:rsidR="00235907" w:rsidRPr="00235907" w:rsidTr="000E51BC"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235907" w:rsidRDefault="00557B04" w:rsidP="00C70A4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H</w:t>
            </w:r>
            <w:r w:rsidR="00C70A47" w:rsidRPr="00C70A47">
              <w:rPr>
                <w:b/>
              </w:rPr>
              <w:t>igh</w:t>
            </w:r>
            <w:r w:rsidR="00235907" w:rsidRPr="00C70A47">
              <w:rPr>
                <w:b/>
              </w:rPr>
              <w:t xml:space="preserve"> dose</w:t>
            </w:r>
            <w:r>
              <w:rPr>
                <w:b/>
              </w:rPr>
              <w:t xml:space="preserve"> PTV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CI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  <w:rPr>
                <w:b/>
              </w:rPr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986*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979 ; 0</w:t>
            </w:r>
            <w:r w:rsidR="00FA714A">
              <w:t>.</w:t>
            </w:r>
            <w:r w:rsidRPr="00C70A47">
              <w:t>998]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986*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979 ; 0</w:t>
            </w:r>
            <w:r w:rsidR="00FA714A">
              <w:t>.</w:t>
            </w:r>
            <w:r w:rsidRPr="00C70A47">
              <w:t>998]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1</w:t>
            </w:r>
          </w:p>
        </w:tc>
      </w:tr>
      <w:tr w:rsidR="00235907" w:rsidRPr="00235907" w:rsidTr="000E51BC">
        <w:tc>
          <w:tcPr>
            <w:tcW w:w="25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235907" w:rsidRDefault="00235907" w:rsidP="00680D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HI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060</w:t>
            </w:r>
            <w:r w:rsidRPr="00C70A47">
              <w:t xml:space="preserve"> 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032 ; 0</w:t>
            </w:r>
            <w:r w:rsidR="00FA714A">
              <w:t>.</w:t>
            </w:r>
            <w:r w:rsidRPr="00C70A47">
              <w:t>100]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077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041 ; 0</w:t>
            </w:r>
            <w:r w:rsidR="00FA714A">
              <w:t>.</w:t>
            </w:r>
            <w:r w:rsidRPr="00C70A47">
              <w:t>111]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0</w:t>
            </w:r>
          </w:p>
        </w:tc>
      </w:tr>
      <w:tr w:rsidR="00235907" w:rsidRPr="00235907" w:rsidTr="000E51BC">
        <w:tc>
          <w:tcPr>
            <w:tcW w:w="25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235907" w:rsidRDefault="00557B04" w:rsidP="004D4CEF">
            <w:pPr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I</w:t>
            </w:r>
            <w:r w:rsidR="004D4CEF" w:rsidRPr="004D4CEF">
              <w:rPr>
                <w:b/>
              </w:rPr>
              <w:t>ntermediate</w:t>
            </w:r>
            <w:proofErr w:type="spellEnd"/>
            <w:r w:rsidR="004D4CEF" w:rsidRPr="004D4CEF">
              <w:rPr>
                <w:b/>
              </w:rPr>
              <w:t xml:space="preserve"> dose</w:t>
            </w:r>
            <w:r>
              <w:rPr>
                <w:b/>
              </w:rPr>
              <w:t xml:space="preserve"> PTV</w:t>
            </w:r>
          </w:p>
        </w:tc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CI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971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954 ; 0</w:t>
            </w:r>
            <w:r w:rsidR="00FA714A">
              <w:t>.</w:t>
            </w:r>
            <w:r w:rsidRPr="00C70A47">
              <w:t>987]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969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947 ; 0</w:t>
            </w:r>
            <w:r w:rsidR="00FA714A">
              <w:t>.</w:t>
            </w:r>
            <w:r w:rsidRPr="00C70A47">
              <w:t>986]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1</w:t>
            </w:r>
          </w:p>
        </w:tc>
      </w:tr>
      <w:tr w:rsidR="00235907" w:rsidRPr="00235907" w:rsidTr="000E51BC">
        <w:tc>
          <w:tcPr>
            <w:tcW w:w="25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235907" w:rsidRDefault="00235907" w:rsidP="00680D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HI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162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096 ; 0</w:t>
            </w:r>
            <w:r w:rsidR="00FA714A">
              <w:t>.</w:t>
            </w:r>
            <w:r w:rsidRPr="00C70A47">
              <w:t>211]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rPr>
                <w:b/>
              </w:rPr>
              <w:t>0</w:t>
            </w:r>
            <w:r w:rsidR="00ED6196">
              <w:rPr>
                <w:b/>
              </w:rPr>
              <w:t>.</w:t>
            </w:r>
            <w:r w:rsidRPr="00C70A47">
              <w:rPr>
                <w:b/>
              </w:rPr>
              <w:t>191</w:t>
            </w:r>
          </w:p>
          <w:p w:rsidR="00235907" w:rsidRPr="00C70A47" w:rsidRDefault="00235907" w:rsidP="00FA714A">
            <w:pPr>
              <w:jc w:val="center"/>
            </w:pPr>
            <w:r w:rsidRPr="00C70A47">
              <w:t>[0</w:t>
            </w:r>
            <w:r w:rsidR="00FA714A">
              <w:t>.</w:t>
            </w:r>
            <w:r w:rsidRPr="00C70A47">
              <w:t>137 ; 0</w:t>
            </w:r>
            <w:r w:rsidR="00FA714A">
              <w:t>.</w:t>
            </w:r>
            <w:r w:rsidRPr="00C70A47">
              <w:t>237]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0</w:t>
            </w:r>
          </w:p>
        </w:tc>
      </w:tr>
      <w:tr w:rsidR="00235907" w:rsidRPr="0035114D" w:rsidTr="000E51BC">
        <w:tc>
          <w:tcPr>
            <w:tcW w:w="25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235907" w:rsidRDefault="00557B04" w:rsidP="004D4CEF">
            <w:pPr>
              <w:jc w:val="center"/>
              <w:rPr>
                <w:b/>
                <w:highlight w:val="yellow"/>
              </w:rPr>
            </w:pPr>
            <w:proofErr w:type="spellStart"/>
            <w:r>
              <w:rPr>
                <w:b/>
              </w:rPr>
              <w:t>L</w:t>
            </w:r>
            <w:r w:rsidR="004D4CEF" w:rsidRPr="004D4CEF">
              <w:rPr>
                <w:b/>
              </w:rPr>
              <w:t>ow</w:t>
            </w:r>
            <w:proofErr w:type="spellEnd"/>
            <w:r w:rsidR="004D4CEF" w:rsidRPr="004D4CEF">
              <w:rPr>
                <w:b/>
              </w:rPr>
              <w:t xml:space="preserve"> dose</w:t>
            </w:r>
            <w:r>
              <w:rPr>
                <w:b/>
              </w:rPr>
              <w:t xml:space="preserve"> PTV</w:t>
            </w:r>
            <w:r w:rsidR="00235907" w:rsidRPr="00C70A47">
              <w:rPr>
                <w:b/>
              </w:rPr>
              <w:t>**</w:t>
            </w:r>
          </w:p>
        </w:tc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C70A47" w:rsidRDefault="00235907" w:rsidP="00680D20">
            <w:pPr>
              <w:jc w:val="center"/>
            </w:pPr>
            <w:r w:rsidRPr="00C70A47">
              <w:t>CI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  <w:rPr>
                <w:b/>
              </w:rPr>
            </w:pPr>
            <w:r w:rsidRPr="0035114D">
              <w:rPr>
                <w:b/>
              </w:rPr>
              <w:t>0</w:t>
            </w:r>
            <w:r w:rsidR="00ED6196" w:rsidRPr="0035114D">
              <w:rPr>
                <w:b/>
              </w:rPr>
              <w:t>.</w:t>
            </w:r>
            <w:r w:rsidRPr="0035114D">
              <w:rPr>
                <w:b/>
              </w:rPr>
              <w:t>992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[0</w:t>
            </w:r>
            <w:r w:rsidR="00FA714A" w:rsidRPr="0035114D">
              <w:t>.</w:t>
            </w:r>
            <w:r w:rsidRPr="0035114D">
              <w:t>981 ; 0</w:t>
            </w:r>
            <w:r w:rsidR="00FA714A">
              <w:rPr>
                <w:lang w:val="en-IE"/>
              </w:rPr>
              <w:t>.</w:t>
            </w:r>
            <w:r w:rsidRPr="0035114D">
              <w:t>997]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0</w:t>
            </w:r>
            <w:r w:rsidR="00ED6196" w:rsidRPr="0035114D">
              <w:rPr>
                <w:b/>
              </w:rPr>
              <w:t>.</w:t>
            </w:r>
            <w:r w:rsidRPr="0035114D">
              <w:rPr>
                <w:b/>
              </w:rPr>
              <w:t>991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[0</w:t>
            </w:r>
            <w:r w:rsidR="00FA714A">
              <w:rPr>
                <w:lang w:val="en-IE"/>
              </w:rPr>
              <w:t>.</w:t>
            </w:r>
            <w:r w:rsidRPr="0035114D">
              <w:t>985 ; 0</w:t>
            </w:r>
            <w:r w:rsidR="00FA714A">
              <w:rPr>
                <w:lang w:val="en-IE"/>
              </w:rPr>
              <w:t>.</w:t>
            </w:r>
            <w:r w:rsidRPr="0035114D">
              <w:t>997]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t>1</w:t>
            </w:r>
          </w:p>
        </w:tc>
      </w:tr>
      <w:tr w:rsidR="00235907" w:rsidRPr="0035114D" w:rsidTr="000E51BC"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t>HI</w:t>
            </w:r>
          </w:p>
        </w:tc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0</w:t>
            </w:r>
            <w:r w:rsidR="00ED6196" w:rsidRPr="0035114D">
              <w:rPr>
                <w:b/>
              </w:rPr>
              <w:t>.</w:t>
            </w:r>
            <w:r w:rsidRPr="0035114D">
              <w:rPr>
                <w:b/>
              </w:rPr>
              <w:t>131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[0</w:t>
            </w:r>
            <w:r w:rsidR="00FA714A">
              <w:rPr>
                <w:lang w:val="en-IE"/>
              </w:rPr>
              <w:t>.</w:t>
            </w:r>
            <w:r w:rsidRPr="0035114D">
              <w:t>098 ; 0</w:t>
            </w:r>
            <w:r w:rsidR="00FA714A">
              <w:rPr>
                <w:lang w:val="en-IE"/>
              </w:rPr>
              <w:t>.</w:t>
            </w:r>
            <w:r w:rsidRPr="0035114D">
              <w:t>166]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0</w:t>
            </w:r>
            <w:r w:rsidR="00ED6196">
              <w:rPr>
                <w:b/>
                <w:lang w:val="en-IE"/>
              </w:rPr>
              <w:t>.</w:t>
            </w:r>
            <w:r w:rsidRPr="0035114D">
              <w:rPr>
                <w:b/>
              </w:rPr>
              <w:t>139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[0</w:t>
            </w:r>
            <w:r w:rsidR="00FA714A">
              <w:rPr>
                <w:lang w:val="en-IE"/>
              </w:rPr>
              <w:t>.</w:t>
            </w:r>
            <w:r w:rsidRPr="0035114D">
              <w:t>107 ; 0</w:t>
            </w:r>
            <w:r w:rsidR="00FA714A">
              <w:rPr>
                <w:lang w:val="en-IE"/>
              </w:rPr>
              <w:t>.</w:t>
            </w:r>
            <w:r w:rsidRPr="0035114D">
              <w:t>190]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t>0</w:t>
            </w:r>
          </w:p>
        </w:tc>
      </w:tr>
      <w:tr w:rsidR="00235907" w:rsidRPr="0035114D" w:rsidTr="000E51BC">
        <w:tc>
          <w:tcPr>
            <w:tcW w:w="25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1B2EC8" w:rsidP="00680D20">
            <w:pPr>
              <w:jc w:val="center"/>
              <w:rPr>
                <w:b/>
              </w:rPr>
            </w:pPr>
            <w:proofErr w:type="spellStart"/>
            <w:r w:rsidRPr="001B2EC8">
              <w:rPr>
                <w:b/>
                <w:lang w:val="en-GB"/>
              </w:rPr>
              <w:t>Homolateral</w:t>
            </w:r>
            <w:proofErr w:type="spellEnd"/>
            <w:r w:rsidRPr="0035114D">
              <w:rPr>
                <w:b/>
              </w:rPr>
              <w:t xml:space="preserve"> </w:t>
            </w:r>
            <w:proofErr w:type="spellStart"/>
            <w:r w:rsidRPr="0035114D">
              <w:rPr>
                <w:b/>
              </w:rPr>
              <w:t>parotid</w:t>
            </w:r>
            <w:proofErr w:type="spellEnd"/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C70A47">
            <w:pPr>
              <w:jc w:val="center"/>
            </w:pPr>
            <w:proofErr w:type="spellStart"/>
            <w:r w:rsidRPr="0035114D">
              <w:t>D</w:t>
            </w:r>
            <w:r w:rsidRPr="0035114D">
              <w:rPr>
                <w:vertAlign w:val="subscript"/>
              </w:rPr>
              <w:t>m</w:t>
            </w:r>
            <w:r w:rsidR="00C70A47" w:rsidRPr="0035114D">
              <w:rPr>
                <w:vertAlign w:val="subscript"/>
              </w:rPr>
              <w:t>ean</w:t>
            </w:r>
            <w:proofErr w:type="spellEnd"/>
            <w:r w:rsidRPr="0035114D">
              <w:rPr>
                <w:vertAlign w:val="subscript"/>
              </w:rPr>
              <w:t xml:space="preserve"> </w:t>
            </w:r>
            <w:r w:rsidRPr="0035114D">
              <w:t>(Gy)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26</w:t>
            </w:r>
            <w:r w:rsidR="00ED6196" w:rsidRPr="0035114D">
              <w:rPr>
                <w:b/>
              </w:rPr>
              <w:t>.</w:t>
            </w:r>
            <w:r w:rsidRPr="0035114D">
              <w:rPr>
                <w:b/>
              </w:rPr>
              <w:t>20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[11</w:t>
            </w:r>
            <w:r w:rsidR="00FA714A">
              <w:rPr>
                <w:lang w:val="en-IE"/>
              </w:rPr>
              <w:t>.</w:t>
            </w:r>
            <w:r w:rsidRPr="0035114D">
              <w:t>97 ; 38</w:t>
            </w:r>
            <w:r w:rsidR="00FA714A">
              <w:rPr>
                <w:lang w:val="en-IE"/>
              </w:rPr>
              <w:t>.</w:t>
            </w:r>
            <w:r w:rsidRPr="0035114D">
              <w:t>64]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20</w:t>
            </w:r>
            <w:r w:rsidR="00ED6196">
              <w:rPr>
                <w:b/>
                <w:lang w:val="en-IE"/>
              </w:rPr>
              <w:t>.</w:t>
            </w:r>
            <w:r w:rsidRPr="0035114D">
              <w:rPr>
                <w:b/>
              </w:rPr>
              <w:t>21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[12</w:t>
            </w:r>
            <w:r w:rsidR="00FA714A">
              <w:rPr>
                <w:lang w:val="en-IE"/>
              </w:rPr>
              <w:t>.</w:t>
            </w:r>
            <w:r w:rsidRPr="0035114D">
              <w:t>04 ; 25</w:t>
            </w:r>
            <w:r w:rsidR="00FA714A">
              <w:rPr>
                <w:lang w:val="en-IE"/>
              </w:rPr>
              <w:t>.</w:t>
            </w:r>
            <w:r w:rsidRPr="0035114D">
              <w:t>91]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0E51BC">
            <w:pPr>
              <w:jc w:val="center"/>
            </w:pPr>
            <w:r w:rsidRPr="0035114D">
              <w:t>&lt; 26 Gy</w:t>
            </w:r>
          </w:p>
        </w:tc>
      </w:tr>
      <w:tr w:rsidR="00235907" w:rsidRPr="00FA714A" w:rsidTr="000E51BC">
        <w:tc>
          <w:tcPr>
            <w:tcW w:w="25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1B2EC8" w:rsidP="00680D20">
            <w:pPr>
              <w:jc w:val="center"/>
              <w:rPr>
                <w:b/>
              </w:rPr>
            </w:pPr>
            <w:proofErr w:type="spellStart"/>
            <w:r w:rsidRPr="0035114D">
              <w:rPr>
                <w:b/>
              </w:rPr>
              <w:t>Controlateral</w:t>
            </w:r>
            <w:proofErr w:type="spellEnd"/>
            <w:r w:rsidRPr="0035114D">
              <w:rPr>
                <w:b/>
              </w:rPr>
              <w:t xml:space="preserve"> </w:t>
            </w:r>
            <w:proofErr w:type="spellStart"/>
            <w:r w:rsidRPr="0035114D">
              <w:rPr>
                <w:b/>
              </w:rPr>
              <w:t>parotid</w:t>
            </w:r>
            <w:proofErr w:type="spellEnd"/>
          </w:p>
        </w:tc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C70A47">
            <w:pPr>
              <w:jc w:val="center"/>
            </w:pPr>
            <w:proofErr w:type="spellStart"/>
            <w:r w:rsidRPr="0035114D">
              <w:t>D</w:t>
            </w:r>
            <w:r w:rsidR="00C70A47" w:rsidRPr="0035114D">
              <w:rPr>
                <w:vertAlign w:val="subscript"/>
              </w:rPr>
              <w:t>mean</w:t>
            </w:r>
            <w:proofErr w:type="spellEnd"/>
            <w:r w:rsidRPr="0035114D">
              <w:rPr>
                <w:vertAlign w:val="subscript"/>
              </w:rPr>
              <w:t xml:space="preserve"> </w:t>
            </w:r>
            <w:r w:rsidRPr="0035114D">
              <w:t>(Gy)</w:t>
            </w:r>
          </w:p>
        </w:tc>
        <w:tc>
          <w:tcPr>
            <w:tcW w:w="21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23</w:t>
            </w:r>
            <w:r w:rsidR="00ED6196" w:rsidRPr="0035114D">
              <w:rPr>
                <w:b/>
              </w:rPr>
              <w:t>.</w:t>
            </w:r>
            <w:r w:rsidRPr="0035114D">
              <w:rPr>
                <w:b/>
              </w:rPr>
              <w:t>63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[8</w:t>
            </w:r>
            <w:r w:rsidR="00FA714A">
              <w:rPr>
                <w:lang w:val="en-IE"/>
              </w:rPr>
              <w:t>.</w:t>
            </w:r>
            <w:r w:rsidRPr="0035114D">
              <w:t>95 ; 36</w:t>
            </w:r>
            <w:r w:rsidR="00FA714A" w:rsidRPr="0035114D">
              <w:t>.</w:t>
            </w:r>
            <w:r w:rsidRPr="0035114D">
              <w:t>80]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</w:pPr>
            <w:r w:rsidRPr="0035114D">
              <w:rPr>
                <w:b/>
              </w:rPr>
              <w:t>18</w:t>
            </w:r>
            <w:r w:rsidR="00ED6196" w:rsidRPr="0035114D">
              <w:rPr>
                <w:b/>
              </w:rPr>
              <w:t>.</w:t>
            </w:r>
            <w:r w:rsidRPr="0035114D">
              <w:rPr>
                <w:b/>
              </w:rPr>
              <w:t>97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[11</w:t>
            </w:r>
            <w:r w:rsidR="00FA714A">
              <w:rPr>
                <w:lang w:val="en-IE"/>
              </w:rPr>
              <w:t>.</w:t>
            </w:r>
            <w:r w:rsidRPr="0035114D">
              <w:t>56 ; 29</w:t>
            </w:r>
            <w:r w:rsidR="00FA714A">
              <w:rPr>
                <w:lang w:val="en-IE"/>
              </w:rPr>
              <w:t>.</w:t>
            </w:r>
            <w:r w:rsidRPr="0035114D">
              <w:t>22]</w:t>
            </w:r>
          </w:p>
        </w:tc>
        <w:tc>
          <w:tcPr>
            <w:tcW w:w="15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907" w:rsidRPr="007409EA" w:rsidRDefault="000E51BC" w:rsidP="000E51BC">
            <w:pPr>
              <w:spacing w:after="160" w:line="259" w:lineRule="auto"/>
              <w:jc w:val="center"/>
            </w:pPr>
            <w:r>
              <w:t>&lt; 26 Gy</w:t>
            </w:r>
          </w:p>
        </w:tc>
      </w:tr>
      <w:tr w:rsidR="00235907" w:rsidRPr="0035114D" w:rsidTr="000E51BC">
        <w:tc>
          <w:tcPr>
            <w:tcW w:w="25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0D7E4E" w:rsidP="000D7E4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</w:t>
            </w:r>
            <w:r w:rsidR="001B2EC8" w:rsidRPr="0035114D">
              <w:rPr>
                <w:b/>
              </w:rPr>
              <w:t xml:space="preserve">pinal </w:t>
            </w:r>
            <w:proofErr w:type="spellStart"/>
            <w:r w:rsidR="001B2EC8" w:rsidRPr="0035114D">
              <w:rPr>
                <w:b/>
              </w:rPr>
              <w:t>cord</w:t>
            </w:r>
            <w:proofErr w:type="spellEnd"/>
            <w:r>
              <w:rPr>
                <w:b/>
              </w:rPr>
              <w:t xml:space="preserve"> PRV</w:t>
            </w:r>
          </w:p>
        </w:tc>
        <w:tc>
          <w:tcPr>
            <w:tcW w:w="1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  <w:rPr>
                <w:vertAlign w:val="subscript"/>
              </w:rPr>
            </w:pPr>
            <w:r w:rsidRPr="0035114D">
              <w:t>D</w:t>
            </w:r>
            <w:r w:rsidRPr="0035114D">
              <w:rPr>
                <w:vertAlign w:val="subscript"/>
              </w:rPr>
              <w:t xml:space="preserve">2% </w:t>
            </w:r>
          </w:p>
          <w:p w:rsidR="00235907" w:rsidRPr="0035114D" w:rsidRDefault="00235907" w:rsidP="00680D20">
            <w:pPr>
              <w:jc w:val="center"/>
            </w:pPr>
            <w:r w:rsidRPr="0035114D">
              <w:t>(Gy)</w:t>
            </w:r>
          </w:p>
        </w:tc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  <w:rPr>
                <w:b/>
              </w:rPr>
            </w:pPr>
            <w:r w:rsidRPr="0035114D">
              <w:rPr>
                <w:b/>
              </w:rPr>
              <w:t>37</w:t>
            </w:r>
            <w:r w:rsidR="00ED6196">
              <w:rPr>
                <w:b/>
                <w:lang w:val="en-IE"/>
              </w:rPr>
              <w:t>.</w:t>
            </w:r>
            <w:r w:rsidRPr="0035114D">
              <w:rPr>
                <w:b/>
              </w:rPr>
              <w:t xml:space="preserve">57 </w:t>
            </w:r>
          </w:p>
          <w:p w:rsidR="00235907" w:rsidRPr="0035114D" w:rsidRDefault="00235907" w:rsidP="00FA714A">
            <w:pPr>
              <w:jc w:val="center"/>
            </w:pPr>
            <w:r w:rsidRPr="0035114D">
              <w:t>[34</w:t>
            </w:r>
            <w:r w:rsidR="00FA714A">
              <w:rPr>
                <w:lang w:val="en-IE"/>
              </w:rPr>
              <w:t>.</w:t>
            </w:r>
            <w:r w:rsidRPr="0035114D">
              <w:t>70 ; 39</w:t>
            </w:r>
            <w:r w:rsidR="00FA714A">
              <w:rPr>
                <w:lang w:val="en-IE"/>
              </w:rPr>
              <w:t>.</w:t>
            </w:r>
            <w:r w:rsidRPr="0035114D">
              <w:t>64]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680D20">
            <w:pPr>
              <w:jc w:val="center"/>
              <w:rPr>
                <w:b/>
              </w:rPr>
            </w:pPr>
            <w:r w:rsidRPr="0035114D">
              <w:rPr>
                <w:b/>
              </w:rPr>
              <w:t>38</w:t>
            </w:r>
            <w:r w:rsidR="00ED6196">
              <w:rPr>
                <w:b/>
                <w:lang w:val="en-IE"/>
              </w:rPr>
              <w:t>.</w:t>
            </w:r>
            <w:r w:rsidRPr="0035114D">
              <w:rPr>
                <w:b/>
              </w:rPr>
              <w:t>25</w:t>
            </w:r>
          </w:p>
          <w:p w:rsidR="00235907" w:rsidRPr="0035114D" w:rsidRDefault="00235907" w:rsidP="00FA714A">
            <w:pPr>
              <w:jc w:val="center"/>
            </w:pPr>
            <w:r w:rsidRPr="0035114D">
              <w:t xml:space="preserve"> [35</w:t>
            </w:r>
            <w:r w:rsidR="00FA714A">
              <w:rPr>
                <w:lang w:val="en-IE"/>
              </w:rPr>
              <w:t>.</w:t>
            </w:r>
            <w:r w:rsidRPr="0035114D">
              <w:t>00 ; 40</w:t>
            </w:r>
            <w:r w:rsidR="00FA714A">
              <w:rPr>
                <w:lang w:val="en-IE"/>
              </w:rPr>
              <w:t>.</w:t>
            </w:r>
            <w:r w:rsidRPr="0035114D">
              <w:t>98]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907" w:rsidRPr="0035114D" w:rsidRDefault="00235907" w:rsidP="000E51BC">
            <w:pPr>
              <w:jc w:val="center"/>
            </w:pPr>
            <w:r w:rsidRPr="0035114D">
              <w:t>&lt; 45 Gy</w:t>
            </w:r>
          </w:p>
        </w:tc>
      </w:tr>
    </w:tbl>
    <w:p w:rsidR="00235907" w:rsidRPr="00D041D2" w:rsidRDefault="00507240" w:rsidP="00235907">
      <w:pPr>
        <w:tabs>
          <w:tab w:val="left" w:pos="3915"/>
        </w:tabs>
        <w:spacing w:after="0"/>
        <w:jc w:val="center"/>
        <w:rPr>
          <w:i/>
          <w:lang w:val="en-US"/>
        </w:rPr>
      </w:pPr>
      <w:r w:rsidRPr="00D041D2">
        <w:rPr>
          <w:b/>
          <w:i/>
          <w:u w:val="single"/>
          <w:lang w:val="en-US"/>
        </w:rPr>
        <w:t>Table</w:t>
      </w:r>
      <w:r w:rsidR="00392FB1">
        <w:rPr>
          <w:b/>
          <w:i/>
          <w:u w:val="single"/>
          <w:lang w:val="en-US"/>
        </w:rPr>
        <w:t xml:space="preserve"> </w:t>
      </w:r>
      <w:r w:rsidRPr="00D041D2">
        <w:rPr>
          <w:b/>
          <w:i/>
          <w:u w:val="single"/>
          <w:lang w:val="en-US"/>
        </w:rPr>
        <w:t>1</w:t>
      </w:r>
      <w:r w:rsidR="00235907" w:rsidRPr="00D041D2">
        <w:rPr>
          <w:b/>
          <w:i/>
          <w:lang w:val="en-US"/>
        </w:rPr>
        <w:t>:</w:t>
      </w:r>
      <w:r w:rsidR="00235907" w:rsidRPr="00D041D2">
        <w:rPr>
          <w:i/>
          <w:lang w:val="en-US"/>
        </w:rPr>
        <w:t xml:space="preserve"> </w:t>
      </w:r>
      <w:r w:rsidR="004402AA">
        <w:rPr>
          <w:i/>
          <w:lang w:val="en-US"/>
        </w:rPr>
        <w:t>T</w:t>
      </w:r>
      <w:r w:rsidRPr="00D041D2">
        <w:rPr>
          <w:i/>
          <w:lang w:val="en-US"/>
        </w:rPr>
        <w:t>r</w:t>
      </w:r>
      <w:r w:rsidR="00D041D2" w:rsidRPr="00D041D2">
        <w:rPr>
          <w:i/>
          <w:lang w:val="en-US"/>
        </w:rPr>
        <w:t>e</w:t>
      </w:r>
      <w:r w:rsidRPr="00D041D2">
        <w:rPr>
          <w:i/>
          <w:lang w:val="en-US"/>
        </w:rPr>
        <w:t xml:space="preserve">atment planning in head and neck VMAT with and without </w:t>
      </w:r>
      <w:r w:rsidR="00BB0E91">
        <w:rPr>
          <w:i/>
          <w:lang w:val="en-US"/>
        </w:rPr>
        <w:t>predictive</w:t>
      </w:r>
      <w:r w:rsidR="00552651">
        <w:rPr>
          <w:i/>
          <w:lang w:val="en-US"/>
        </w:rPr>
        <w:t xml:space="preserve"> model </w:t>
      </w:r>
      <w:r w:rsidR="00BB0E91">
        <w:rPr>
          <w:i/>
          <w:lang w:val="en-US"/>
        </w:rPr>
        <w:t>of</w:t>
      </w:r>
      <w:r w:rsidR="00552651">
        <w:rPr>
          <w:i/>
          <w:lang w:val="en-US"/>
        </w:rPr>
        <w:t xml:space="preserve"> mean dose </w:t>
      </w:r>
      <w:r w:rsidR="00BB0E91">
        <w:rPr>
          <w:i/>
          <w:lang w:val="en-US"/>
        </w:rPr>
        <w:t>to</w:t>
      </w:r>
      <w:r w:rsidR="00552651">
        <w:rPr>
          <w:i/>
          <w:lang w:val="en-US"/>
        </w:rPr>
        <w:t xml:space="preserve"> </w:t>
      </w:r>
      <w:r w:rsidRPr="00D041D2">
        <w:rPr>
          <w:i/>
          <w:lang w:val="en-US"/>
        </w:rPr>
        <w:t xml:space="preserve">parotids </w:t>
      </w:r>
    </w:p>
    <w:p w:rsidR="00235907" w:rsidRPr="00955727" w:rsidRDefault="00235907" w:rsidP="00235907">
      <w:pPr>
        <w:tabs>
          <w:tab w:val="left" w:pos="3915"/>
        </w:tabs>
        <w:jc w:val="center"/>
        <w:rPr>
          <w:i/>
          <w:lang w:val="en-US"/>
        </w:rPr>
      </w:pPr>
      <w:r w:rsidRPr="00955727">
        <w:rPr>
          <w:i/>
          <w:lang w:val="en-US"/>
        </w:rPr>
        <w:t>(</w:t>
      </w:r>
      <w:proofErr w:type="gramStart"/>
      <w:r w:rsidR="00C70A47" w:rsidRPr="00955727">
        <w:rPr>
          <w:i/>
          <w:lang w:val="en-US"/>
        </w:rPr>
        <w:t>mean</w:t>
      </w:r>
      <w:proofErr w:type="gramEnd"/>
      <w:r w:rsidR="00C70A47" w:rsidRPr="00955727">
        <w:rPr>
          <w:i/>
          <w:lang w:val="en-US"/>
        </w:rPr>
        <w:t xml:space="preserve"> for 10 patients or</w:t>
      </w:r>
      <w:r w:rsidRPr="00955727">
        <w:rPr>
          <w:i/>
          <w:lang w:val="en-US"/>
        </w:rPr>
        <w:t xml:space="preserve"> **8 patients, [</w:t>
      </w:r>
      <w:r w:rsidR="00C70A47" w:rsidRPr="00955727">
        <w:rPr>
          <w:i/>
          <w:lang w:val="en-US"/>
        </w:rPr>
        <w:t>extrem</w:t>
      </w:r>
      <w:r w:rsidR="00B757FF">
        <w:rPr>
          <w:i/>
          <w:lang w:val="en-US"/>
        </w:rPr>
        <w:t>e</w:t>
      </w:r>
      <w:r w:rsidR="00C70A47" w:rsidRPr="00955727">
        <w:rPr>
          <w:i/>
          <w:lang w:val="en-US"/>
        </w:rPr>
        <w:t>s</w:t>
      </w:r>
      <w:r w:rsidRPr="00955727">
        <w:rPr>
          <w:i/>
          <w:lang w:val="en-US"/>
        </w:rPr>
        <w:t>]), *</w:t>
      </w:r>
      <w:r w:rsidR="00C70A47" w:rsidRPr="00955727">
        <w:rPr>
          <w:i/>
          <w:lang w:val="en-US"/>
        </w:rPr>
        <w:t xml:space="preserve">plans </w:t>
      </w:r>
      <w:r w:rsidR="00D041D2" w:rsidRPr="00955727">
        <w:rPr>
          <w:i/>
          <w:lang w:val="en-US"/>
        </w:rPr>
        <w:t>normalization</w:t>
      </w:r>
      <w:r w:rsidR="00C70A47" w:rsidRPr="00955727">
        <w:rPr>
          <w:i/>
          <w:lang w:val="en-US"/>
        </w:rPr>
        <w:t xml:space="preserve"> point</w:t>
      </w:r>
      <w:r w:rsidRPr="00955727">
        <w:rPr>
          <w:i/>
          <w:lang w:val="en-US"/>
        </w:rPr>
        <w:t xml:space="preserve"> </w:t>
      </w:r>
    </w:p>
    <w:p w:rsidR="00235907" w:rsidRPr="00955727" w:rsidRDefault="00235907" w:rsidP="00235907">
      <w:pPr>
        <w:jc w:val="both"/>
        <w:rPr>
          <w:highlight w:val="yellow"/>
          <w:lang w:val="en-US"/>
        </w:rPr>
      </w:pPr>
    </w:p>
    <w:p w:rsidR="00235907" w:rsidRPr="00235907" w:rsidRDefault="005C0BC1" w:rsidP="00235907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>References</w:t>
      </w:r>
    </w:p>
    <w:p w:rsidR="00235907" w:rsidRPr="00C70A47" w:rsidRDefault="00235907" w:rsidP="00235907">
      <w:pPr>
        <w:jc w:val="both"/>
        <w:rPr>
          <w:lang w:val="en-US"/>
        </w:rPr>
      </w:pPr>
      <w:r w:rsidRPr="00235907">
        <w:rPr>
          <w:lang w:val="en-US"/>
        </w:rPr>
        <w:t xml:space="preserve">[1] KL. Moore et al. – Experience-based quality control of clinical intensity-modulated radiotherapy planning – Int. J. Radiation Oncology Biol. </w:t>
      </w:r>
      <w:r w:rsidRPr="00C70A47">
        <w:rPr>
          <w:lang w:val="en-US"/>
        </w:rPr>
        <w:t xml:space="preserve">Phys. Vol81 n2 – 2011 </w:t>
      </w:r>
    </w:p>
    <w:p w:rsidR="00235907" w:rsidRPr="00C70A47" w:rsidRDefault="00235907" w:rsidP="00235907">
      <w:pPr>
        <w:jc w:val="both"/>
        <w:rPr>
          <w:highlight w:val="yellow"/>
          <w:lang w:val="en-US"/>
        </w:rPr>
      </w:pPr>
      <w:bookmarkStart w:id="0" w:name="_GoBack"/>
      <w:bookmarkEnd w:id="0"/>
    </w:p>
    <w:p w:rsidR="00235907" w:rsidRPr="00C70A47" w:rsidRDefault="00235907" w:rsidP="00235907">
      <w:pPr>
        <w:jc w:val="both"/>
        <w:rPr>
          <w:b/>
          <w:u w:val="single"/>
          <w:lang w:val="en-US"/>
        </w:rPr>
      </w:pPr>
      <w:r w:rsidRPr="00C70A47">
        <w:rPr>
          <w:b/>
          <w:u w:val="single"/>
          <w:lang w:val="en-US"/>
        </w:rPr>
        <w:t>Key words</w:t>
      </w:r>
    </w:p>
    <w:p w:rsidR="00235907" w:rsidRPr="00C70A47" w:rsidRDefault="00507240" w:rsidP="00235907">
      <w:pPr>
        <w:jc w:val="both"/>
        <w:rPr>
          <w:lang w:val="en-US"/>
        </w:rPr>
      </w:pPr>
      <w:r w:rsidRPr="00507240">
        <w:rPr>
          <w:lang w:val="en-US"/>
        </w:rPr>
        <w:t>Treatment planning</w:t>
      </w:r>
      <w:r w:rsidR="0016352B">
        <w:rPr>
          <w:lang w:val="en-US"/>
        </w:rPr>
        <w:t>, D</w:t>
      </w:r>
      <w:r w:rsidR="00235907" w:rsidRPr="00507240">
        <w:rPr>
          <w:lang w:val="en-US"/>
        </w:rPr>
        <w:t>ose</w:t>
      </w:r>
      <w:r w:rsidR="00235907" w:rsidRPr="00C70A47">
        <w:rPr>
          <w:lang w:val="en-US"/>
        </w:rPr>
        <w:t xml:space="preserve"> </w:t>
      </w:r>
      <w:r w:rsidR="0016352B">
        <w:rPr>
          <w:lang w:val="en-US"/>
        </w:rPr>
        <w:t>prediction, Head &amp; Neck, VMAT, Q</w:t>
      </w:r>
      <w:r w:rsidR="00235907" w:rsidRPr="00C70A47">
        <w:rPr>
          <w:lang w:val="en-US"/>
        </w:rPr>
        <w:t>uality control</w:t>
      </w:r>
    </w:p>
    <w:p w:rsidR="00235907" w:rsidRPr="00C70A47" w:rsidRDefault="00235907" w:rsidP="00235907">
      <w:pPr>
        <w:jc w:val="center"/>
        <w:rPr>
          <w:lang w:val="en-US"/>
        </w:rPr>
      </w:pPr>
    </w:p>
    <w:p w:rsidR="00BB1E36" w:rsidRPr="00C70A47" w:rsidRDefault="00B03C70">
      <w:pPr>
        <w:rPr>
          <w:lang w:val="en-US"/>
        </w:rPr>
      </w:pPr>
    </w:p>
    <w:sectPr w:rsidR="00BB1E36" w:rsidRPr="00C7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07"/>
    <w:rsid w:val="000730C3"/>
    <w:rsid w:val="000934EC"/>
    <w:rsid w:val="000D7E4E"/>
    <w:rsid w:val="000E51BC"/>
    <w:rsid w:val="000E5703"/>
    <w:rsid w:val="00103698"/>
    <w:rsid w:val="00105B80"/>
    <w:rsid w:val="00106ACD"/>
    <w:rsid w:val="0012190B"/>
    <w:rsid w:val="00124931"/>
    <w:rsid w:val="00154C06"/>
    <w:rsid w:val="0016352B"/>
    <w:rsid w:val="00171F71"/>
    <w:rsid w:val="001B1B69"/>
    <w:rsid w:val="001B2EC8"/>
    <w:rsid w:val="001D2932"/>
    <w:rsid w:val="002026FC"/>
    <w:rsid w:val="00234880"/>
    <w:rsid w:val="00235907"/>
    <w:rsid w:val="00250E28"/>
    <w:rsid w:val="0025769F"/>
    <w:rsid w:val="00263250"/>
    <w:rsid w:val="002A648E"/>
    <w:rsid w:val="002C5E40"/>
    <w:rsid w:val="002F1853"/>
    <w:rsid w:val="0031577E"/>
    <w:rsid w:val="0031743E"/>
    <w:rsid w:val="003509F3"/>
    <w:rsid w:val="0035114D"/>
    <w:rsid w:val="00370366"/>
    <w:rsid w:val="003704F9"/>
    <w:rsid w:val="00392FB1"/>
    <w:rsid w:val="003B49F1"/>
    <w:rsid w:val="003B7406"/>
    <w:rsid w:val="003C0212"/>
    <w:rsid w:val="003D04E6"/>
    <w:rsid w:val="003D5C22"/>
    <w:rsid w:val="00410DC6"/>
    <w:rsid w:val="004402AA"/>
    <w:rsid w:val="004A06B7"/>
    <w:rsid w:val="004D4CEF"/>
    <w:rsid w:val="004D6ADD"/>
    <w:rsid w:val="004F1C42"/>
    <w:rsid w:val="00507240"/>
    <w:rsid w:val="00524F21"/>
    <w:rsid w:val="005450D4"/>
    <w:rsid w:val="00552651"/>
    <w:rsid w:val="00557B04"/>
    <w:rsid w:val="005C0BC1"/>
    <w:rsid w:val="00602144"/>
    <w:rsid w:val="00632A31"/>
    <w:rsid w:val="006A130A"/>
    <w:rsid w:val="006F4B16"/>
    <w:rsid w:val="007409EA"/>
    <w:rsid w:val="00754758"/>
    <w:rsid w:val="0078466F"/>
    <w:rsid w:val="007A233B"/>
    <w:rsid w:val="007B0B14"/>
    <w:rsid w:val="007C3265"/>
    <w:rsid w:val="007D0F8E"/>
    <w:rsid w:val="007D1A0B"/>
    <w:rsid w:val="007F6278"/>
    <w:rsid w:val="0085286F"/>
    <w:rsid w:val="00886454"/>
    <w:rsid w:val="00886F64"/>
    <w:rsid w:val="008C69A4"/>
    <w:rsid w:val="008E3A1C"/>
    <w:rsid w:val="008F168F"/>
    <w:rsid w:val="008F253A"/>
    <w:rsid w:val="00902B9F"/>
    <w:rsid w:val="00955727"/>
    <w:rsid w:val="00964DD7"/>
    <w:rsid w:val="00990512"/>
    <w:rsid w:val="009961B2"/>
    <w:rsid w:val="009A1B96"/>
    <w:rsid w:val="009A72BE"/>
    <w:rsid w:val="009E5265"/>
    <w:rsid w:val="009F0A5E"/>
    <w:rsid w:val="009F1186"/>
    <w:rsid w:val="009F5BB4"/>
    <w:rsid w:val="00A16FFD"/>
    <w:rsid w:val="00A71DEA"/>
    <w:rsid w:val="00AA377F"/>
    <w:rsid w:val="00B03C70"/>
    <w:rsid w:val="00B32607"/>
    <w:rsid w:val="00B55AF3"/>
    <w:rsid w:val="00B72628"/>
    <w:rsid w:val="00B757FF"/>
    <w:rsid w:val="00B81830"/>
    <w:rsid w:val="00B973C7"/>
    <w:rsid w:val="00BA3959"/>
    <w:rsid w:val="00BB0E91"/>
    <w:rsid w:val="00BC021B"/>
    <w:rsid w:val="00BF2498"/>
    <w:rsid w:val="00C4500A"/>
    <w:rsid w:val="00C70A47"/>
    <w:rsid w:val="00C726EE"/>
    <w:rsid w:val="00C77DA8"/>
    <w:rsid w:val="00C852B9"/>
    <w:rsid w:val="00CA14BF"/>
    <w:rsid w:val="00CA6B3C"/>
    <w:rsid w:val="00CC3EE0"/>
    <w:rsid w:val="00CD1452"/>
    <w:rsid w:val="00CD4E95"/>
    <w:rsid w:val="00CF6298"/>
    <w:rsid w:val="00CF7C92"/>
    <w:rsid w:val="00D041D2"/>
    <w:rsid w:val="00D2792F"/>
    <w:rsid w:val="00D555DC"/>
    <w:rsid w:val="00D771F2"/>
    <w:rsid w:val="00DB425E"/>
    <w:rsid w:val="00E47898"/>
    <w:rsid w:val="00E9200F"/>
    <w:rsid w:val="00EC27C7"/>
    <w:rsid w:val="00ED6196"/>
    <w:rsid w:val="00EF1D77"/>
    <w:rsid w:val="00F302C7"/>
    <w:rsid w:val="00F40539"/>
    <w:rsid w:val="00FA714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37267-50E6-46B1-BC28-34A6506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pan">
    <w:name w:val="transpan"/>
    <w:basedOn w:val="Policepardfaut"/>
    <w:rsid w:val="00955727"/>
  </w:style>
  <w:style w:type="paragraph" w:styleId="Textedebulles">
    <w:name w:val="Balloon Text"/>
    <w:basedOn w:val="Normal"/>
    <w:link w:val="TextedebullesCar"/>
    <w:uiPriority w:val="99"/>
    <w:semiHidden/>
    <w:unhideWhenUsed/>
    <w:rsid w:val="0025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45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F14F-2873-4ED0-80A8-E036695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Eugène Marquis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DELABY Nolwenn</dc:creator>
  <cp:lastModifiedBy>DELABY Nolwenn</cp:lastModifiedBy>
  <cp:revision>2</cp:revision>
  <dcterms:created xsi:type="dcterms:W3CDTF">2016-04-07T08:21:00Z</dcterms:created>
  <dcterms:modified xsi:type="dcterms:W3CDTF">2016-04-07T08:21:00Z</dcterms:modified>
</cp:coreProperties>
</file>