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90BB" w14:textId="77777777" w:rsidR="00040D8D" w:rsidRPr="00040D8D" w:rsidRDefault="00040D8D" w:rsidP="00040D8D">
      <w:pPr>
        <w:jc w:val="center"/>
        <w:rPr>
          <w:rFonts w:ascii="Arial" w:hAnsi="Arial" w:cs="Arial"/>
          <w:b/>
          <w:sz w:val="24"/>
          <w:lang w:val="en-US"/>
        </w:rPr>
      </w:pPr>
      <w:r w:rsidRPr="00040D8D">
        <w:rPr>
          <w:rFonts w:ascii="Arial" w:hAnsi="Arial" w:cs="Arial"/>
          <w:b/>
          <w:sz w:val="24"/>
          <w:lang w:val="en-US"/>
        </w:rPr>
        <w:t>Assessment of doses made during imaging procedures of the technical platform of the Lorraine Cancer Institute (ICL)</w:t>
      </w:r>
    </w:p>
    <w:p w14:paraId="567C11CD" w14:textId="77777777" w:rsidR="00040D8D" w:rsidRPr="00040D8D" w:rsidRDefault="00040D8D" w:rsidP="00040D8D">
      <w:pPr>
        <w:spacing w:after="0"/>
        <w:rPr>
          <w:rFonts w:ascii="Arial" w:hAnsi="Arial" w:cs="Arial"/>
        </w:rPr>
      </w:pPr>
      <w:r w:rsidRPr="00040D8D">
        <w:rPr>
          <w:rFonts w:ascii="Arial" w:hAnsi="Arial" w:cs="Arial"/>
        </w:rPr>
        <w:t xml:space="preserve">C. Le Moigne (1), N. Villani (1), V. </w:t>
      </w:r>
      <w:proofErr w:type="spellStart"/>
      <w:r w:rsidRPr="00040D8D">
        <w:rPr>
          <w:rFonts w:ascii="Arial" w:hAnsi="Arial" w:cs="Arial"/>
        </w:rPr>
        <w:t>Marchesi</w:t>
      </w:r>
      <w:proofErr w:type="spellEnd"/>
      <w:r w:rsidRPr="00040D8D">
        <w:rPr>
          <w:rFonts w:ascii="Arial" w:hAnsi="Arial" w:cs="Arial"/>
        </w:rPr>
        <w:t xml:space="preserve"> (1)</w:t>
      </w:r>
    </w:p>
    <w:p w14:paraId="70C3C455" w14:textId="77777777" w:rsidR="00040D8D" w:rsidRPr="00040D8D" w:rsidRDefault="00040D8D" w:rsidP="00040D8D">
      <w:pPr>
        <w:rPr>
          <w:rFonts w:ascii="Arial" w:hAnsi="Arial" w:cs="Arial"/>
        </w:rPr>
      </w:pPr>
      <w:r w:rsidRPr="00040D8D">
        <w:rPr>
          <w:rFonts w:ascii="Arial" w:hAnsi="Arial" w:cs="Arial"/>
        </w:rPr>
        <w:t>(1) Institut de cancérologie de Loraine / Nancy / France</w:t>
      </w:r>
    </w:p>
    <w:p w14:paraId="214FE013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lang w:val="en-US"/>
        </w:rPr>
      </w:pPr>
      <w:r w:rsidRPr="00040D8D">
        <w:rPr>
          <w:rFonts w:ascii="Arial" w:hAnsi="Arial" w:cs="Arial"/>
          <w:b/>
          <w:lang w:val="en-US"/>
        </w:rPr>
        <w:t xml:space="preserve">Introduction: </w:t>
      </w:r>
    </w:p>
    <w:p w14:paraId="105401A9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 xml:space="preserve">With the development of image-guided radiotherapy treatment techniques (IGRT), the problematic of the number of images and the associated cumulative dose is an important issue. </w:t>
      </w:r>
    </w:p>
    <w:p w14:paraId="01D07230" w14:textId="77777777" w:rsidR="00040D8D" w:rsidRPr="00040D8D" w:rsidRDefault="00040D8D" w:rsidP="00040D8D">
      <w:pPr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>The goal of this study was to quant</w:t>
      </w:r>
      <w:r w:rsidR="006823A0">
        <w:rPr>
          <w:rFonts w:ascii="Arial" w:hAnsi="Arial" w:cs="Arial"/>
          <w:lang w:val="en-US"/>
        </w:rPr>
        <w:t xml:space="preserve">ify the </w:t>
      </w:r>
      <w:proofErr w:type="spellStart"/>
      <w:r w:rsidR="006823A0">
        <w:rPr>
          <w:rFonts w:ascii="Arial" w:hAnsi="Arial" w:cs="Arial"/>
          <w:lang w:val="en-US"/>
        </w:rPr>
        <w:t>dosimetric</w:t>
      </w:r>
      <w:proofErr w:type="spellEnd"/>
      <w:r w:rsidR="006823A0">
        <w:rPr>
          <w:rFonts w:ascii="Arial" w:hAnsi="Arial" w:cs="Arial"/>
          <w:lang w:val="en-US"/>
        </w:rPr>
        <w:t xml:space="preserve"> impact of</w:t>
      </w:r>
      <w:r w:rsidRPr="00040D8D">
        <w:rPr>
          <w:rFonts w:ascii="Arial" w:hAnsi="Arial" w:cs="Arial"/>
          <w:lang w:val="en-US"/>
        </w:rPr>
        <w:t xml:space="preserve"> three imaging systems: </w:t>
      </w:r>
      <w:proofErr w:type="spellStart"/>
      <w:r w:rsidRPr="00040D8D">
        <w:rPr>
          <w:rFonts w:ascii="Arial" w:hAnsi="Arial" w:cs="Arial"/>
          <w:lang w:val="en-US"/>
        </w:rPr>
        <w:t>Clinac</w:t>
      </w:r>
      <w:proofErr w:type="spellEnd"/>
      <w:r w:rsidRPr="00040D8D">
        <w:rPr>
          <w:rFonts w:ascii="Arial" w:hAnsi="Arial" w:cs="Arial"/>
          <w:lang w:val="en-US"/>
        </w:rPr>
        <w:t xml:space="preserve"> (Varian), </w:t>
      </w:r>
      <w:proofErr w:type="spellStart"/>
      <w:r w:rsidRPr="00040D8D">
        <w:rPr>
          <w:rFonts w:ascii="Arial" w:hAnsi="Arial" w:cs="Arial"/>
          <w:lang w:val="en-US"/>
        </w:rPr>
        <w:t>Cyberknife</w:t>
      </w:r>
      <w:proofErr w:type="spellEnd"/>
      <w:r w:rsidRPr="00040D8D">
        <w:rPr>
          <w:rFonts w:ascii="Arial" w:hAnsi="Arial" w:cs="Arial"/>
          <w:lang w:val="en-US"/>
        </w:rPr>
        <w:t xml:space="preserve"> G4 (CK) and </w:t>
      </w:r>
      <w:proofErr w:type="spellStart"/>
      <w:r w:rsidRPr="00040D8D">
        <w:rPr>
          <w:rFonts w:ascii="Arial" w:hAnsi="Arial" w:cs="Arial"/>
          <w:lang w:val="en-US"/>
        </w:rPr>
        <w:t>Tomotherapy</w:t>
      </w:r>
      <w:proofErr w:type="spellEnd"/>
      <w:r w:rsidRPr="00040D8D">
        <w:rPr>
          <w:rFonts w:ascii="Arial" w:hAnsi="Arial" w:cs="Arial"/>
          <w:lang w:val="en-US"/>
        </w:rPr>
        <w:t xml:space="preserve"> (</w:t>
      </w:r>
      <w:proofErr w:type="spellStart"/>
      <w:r w:rsidRPr="00040D8D">
        <w:rPr>
          <w:rFonts w:ascii="Arial" w:hAnsi="Arial" w:cs="Arial"/>
          <w:lang w:val="en-US"/>
        </w:rPr>
        <w:t>Accuray</w:t>
      </w:r>
      <w:proofErr w:type="spellEnd"/>
      <w:r w:rsidRPr="00040D8D">
        <w:rPr>
          <w:rFonts w:ascii="Arial" w:hAnsi="Arial" w:cs="Arial"/>
          <w:lang w:val="en-US"/>
        </w:rPr>
        <w:t>) in realistic treatment conditions.</w:t>
      </w:r>
    </w:p>
    <w:p w14:paraId="34B93AFC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lang w:val="en-US"/>
        </w:rPr>
      </w:pPr>
      <w:r w:rsidRPr="00040D8D">
        <w:rPr>
          <w:rFonts w:ascii="Arial" w:hAnsi="Arial" w:cs="Arial"/>
          <w:b/>
          <w:lang w:val="en-US"/>
        </w:rPr>
        <w:t xml:space="preserve">Material and method: </w:t>
      </w:r>
    </w:p>
    <w:p w14:paraId="41189B15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 xml:space="preserve">For the </w:t>
      </w:r>
      <w:proofErr w:type="spellStart"/>
      <w:r w:rsidRPr="00040D8D">
        <w:rPr>
          <w:rFonts w:ascii="Arial" w:hAnsi="Arial" w:cs="Arial"/>
          <w:lang w:val="en-US"/>
        </w:rPr>
        <w:t>Clinac</w:t>
      </w:r>
      <w:proofErr w:type="spellEnd"/>
      <w:r w:rsidRPr="00040D8D">
        <w:rPr>
          <w:rFonts w:ascii="Arial" w:hAnsi="Arial" w:cs="Arial"/>
          <w:lang w:val="en-US"/>
        </w:rPr>
        <w:t xml:space="preserve">, the dose was measured using thermoluminescent dosimeters (TLD) on the Alderson Rando anthropomorphic phantom (Rando) and on the </w:t>
      </w:r>
      <w:proofErr w:type="spellStart"/>
      <w:r w:rsidRPr="00040D8D">
        <w:rPr>
          <w:rFonts w:ascii="Arial" w:hAnsi="Arial" w:cs="Arial"/>
          <w:lang w:val="en-US"/>
        </w:rPr>
        <w:t>CTDIw</w:t>
      </w:r>
      <w:proofErr w:type="spellEnd"/>
      <w:r w:rsidRPr="00040D8D">
        <w:rPr>
          <w:rFonts w:ascii="Arial" w:hAnsi="Arial" w:cs="Arial"/>
          <w:lang w:val="en-US"/>
        </w:rPr>
        <w:t xml:space="preserve"> phantom used in CT. For the CK, the measurements were performed on and into the Rando with TLD and a semiconductor kV Unfors Xi </w:t>
      </w:r>
      <w:proofErr w:type="spellStart"/>
      <w:r w:rsidRPr="00040D8D">
        <w:rPr>
          <w:rFonts w:ascii="Arial" w:hAnsi="Arial" w:cs="Arial"/>
          <w:lang w:val="en-US"/>
        </w:rPr>
        <w:t>sonde</w:t>
      </w:r>
      <w:proofErr w:type="spellEnd"/>
      <w:r w:rsidRPr="00040D8D">
        <w:rPr>
          <w:rFonts w:ascii="Arial" w:hAnsi="Arial" w:cs="Arial"/>
          <w:lang w:val="en-US"/>
        </w:rPr>
        <w:t xml:space="preserve"> (</w:t>
      </w:r>
      <w:proofErr w:type="spellStart"/>
      <w:r w:rsidRPr="00040D8D">
        <w:rPr>
          <w:rFonts w:ascii="Arial" w:hAnsi="Arial" w:cs="Arial"/>
          <w:lang w:val="en-US"/>
        </w:rPr>
        <w:t>Raysafe</w:t>
      </w:r>
      <w:proofErr w:type="spellEnd"/>
      <w:r w:rsidRPr="00040D8D">
        <w:rPr>
          <w:rFonts w:ascii="Arial" w:hAnsi="Arial" w:cs="Arial"/>
          <w:lang w:val="en-US"/>
        </w:rPr>
        <w:t xml:space="preserve">). </w:t>
      </w:r>
    </w:p>
    <w:p w14:paraId="680254AF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 xml:space="preserve">For </w:t>
      </w:r>
      <w:proofErr w:type="spellStart"/>
      <w:r w:rsidRPr="00040D8D">
        <w:rPr>
          <w:rFonts w:ascii="Arial" w:hAnsi="Arial" w:cs="Arial"/>
          <w:lang w:val="en-US"/>
        </w:rPr>
        <w:t>Tomotherapy</w:t>
      </w:r>
      <w:proofErr w:type="spellEnd"/>
      <w:r w:rsidRPr="00040D8D">
        <w:rPr>
          <w:rFonts w:ascii="Arial" w:hAnsi="Arial" w:cs="Arial"/>
          <w:lang w:val="en-US"/>
        </w:rPr>
        <w:t xml:space="preserve">, the Rando and the Cheese phantom were used with TLD and an ionization chamber (A1 SL, </w:t>
      </w:r>
      <w:proofErr w:type="spellStart"/>
      <w:r w:rsidRPr="00040D8D">
        <w:rPr>
          <w:rFonts w:ascii="Arial" w:hAnsi="Arial" w:cs="Arial"/>
          <w:lang w:val="en-US"/>
        </w:rPr>
        <w:t>Tomoelectrometer</w:t>
      </w:r>
      <w:proofErr w:type="spellEnd"/>
      <w:r w:rsidRPr="00040D8D">
        <w:rPr>
          <w:rFonts w:ascii="Arial" w:hAnsi="Arial" w:cs="Arial"/>
          <w:lang w:val="en-US"/>
        </w:rPr>
        <w:t>, Standard Imaging).</w:t>
      </w:r>
    </w:p>
    <w:p w14:paraId="3C77B888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>TLD700 (</w:t>
      </w:r>
      <w:proofErr w:type="spellStart"/>
      <w:r w:rsidRPr="00040D8D">
        <w:rPr>
          <w:rFonts w:ascii="Arial" w:hAnsi="Arial" w:cs="Arial"/>
          <w:lang w:val="en-US"/>
        </w:rPr>
        <w:t>Harshaw</w:t>
      </w:r>
      <w:proofErr w:type="spellEnd"/>
      <w:r w:rsidRPr="00040D8D">
        <w:rPr>
          <w:rFonts w:ascii="Arial" w:hAnsi="Arial" w:cs="Arial"/>
          <w:lang w:val="en-US"/>
        </w:rPr>
        <w:t>) were read with a 2000D reader (</w:t>
      </w:r>
      <w:proofErr w:type="spellStart"/>
      <w:r w:rsidRPr="00040D8D">
        <w:rPr>
          <w:rFonts w:ascii="Arial" w:hAnsi="Arial" w:cs="Arial"/>
          <w:lang w:val="en-US"/>
        </w:rPr>
        <w:t>Harshaw</w:t>
      </w:r>
      <w:proofErr w:type="spellEnd"/>
      <w:r w:rsidRPr="00040D8D">
        <w:rPr>
          <w:rFonts w:ascii="Arial" w:hAnsi="Arial" w:cs="Arial"/>
          <w:lang w:val="en-US"/>
        </w:rPr>
        <w:t>). Calibration was performed in a 6 MV beam (</w:t>
      </w:r>
      <w:proofErr w:type="spellStart"/>
      <w:r w:rsidRPr="00040D8D">
        <w:rPr>
          <w:rFonts w:ascii="Arial" w:hAnsi="Arial" w:cs="Arial"/>
          <w:lang w:val="en-US"/>
        </w:rPr>
        <w:t>Clinac</w:t>
      </w:r>
      <w:proofErr w:type="spellEnd"/>
      <w:r w:rsidRPr="00040D8D">
        <w:rPr>
          <w:rFonts w:ascii="Arial" w:hAnsi="Arial" w:cs="Arial"/>
          <w:lang w:val="en-US"/>
        </w:rPr>
        <w:t>).</w:t>
      </w:r>
    </w:p>
    <w:p w14:paraId="57EF1604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>Dose CBCT measurements were performed at the center of the phantom for thr</w:t>
      </w:r>
      <w:r>
        <w:rPr>
          <w:rFonts w:ascii="Arial" w:hAnsi="Arial" w:cs="Arial"/>
          <w:lang w:val="en-US"/>
        </w:rPr>
        <w:t>ee locations</w:t>
      </w:r>
      <w:r w:rsidRPr="00040D8D">
        <w:rPr>
          <w:rFonts w:ascii="Arial" w:hAnsi="Arial" w:cs="Arial"/>
          <w:lang w:val="en-US"/>
        </w:rPr>
        <w:t>: skull (100 kV, 145 mAs, 365 projections), pelvis (125 kV, 680 mAs, 665 projections) and thorax (110 kV, 262 mAs, 655 projections).</w:t>
      </w:r>
    </w:p>
    <w:p w14:paraId="0A2C84C7" w14:textId="6B745438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>The dose in CK were measured at the entrance kV imaging beam and at OAR locations (chiasm, optic nerves, lung, femoral heads).</w:t>
      </w:r>
      <w:r w:rsidR="00B50E30">
        <w:rPr>
          <w:rFonts w:ascii="Arial" w:hAnsi="Arial" w:cs="Arial"/>
          <w:lang w:val="en-US"/>
        </w:rPr>
        <w:t xml:space="preserve"> Acquisition parameters are: 120 kV, 150 mAs, 100 </w:t>
      </w:r>
      <w:proofErr w:type="spellStart"/>
      <w:r w:rsidR="00B50E30">
        <w:rPr>
          <w:rFonts w:ascii="Arial" w:hAnsi="Arial" w:cs="Arial"/>
          <w:lang w:val="en-US"/>
        </w:rPr>
        <w:t>ms.</w:t>
      </w:r>
      <w:proofErr w:type="spellEnd"/>
      <w:r w:rsidR="00B50E30">
        <w:rPr>
          <w:rFonts w:ascii="Arial" w:hAnsi="Arial" w:cs="Arial"/>
          <w:lang w:val="en-US"/>
        </w:rPr>
        <w:t xml:space="preserve"> </w:t>
      </w:r>
      <w:proofErr w:type="gramStart"/>
      <w:r w:rsidR="00B50E30">
        <w:rPr>
          <w:rFonts w:ascii="Arial" w:hAnsi="Arial" w:cs="Arial"/>
          <w:lang w:val="en-US"/>
        </w:rPr>
        <w:t>Given</w:t>
      </w:r>
      <w:proofErr w:type="gramEnd"/>
      <w:r w:rsidR="00B50E30">
        <w:rPr>
          <w:rFonts w:ascii="Arial" w:hAnsi="Arial" w:cs="Arial"/>
          <w:lang w:val="en-US"/>
        </w:rPr>
        <w:t xml:space="preserve"> the expected low dose, measurements are cumulated over 100 expositions.</w:t>
      </w:r>
      <w:bookmarkStart w:id="0" w:name="_GoBack"/>
      <w:bookmarkEnd w:id="0"/>
    </w:p>
    <w:p w14:paraId="68EE7A4B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 xml:space="preserve">For </w:t>
      </w:r>
      <w:proofErr w:type="spellStart"/>
      <w:r w:rsidRPr="00040D8D">
        <w:rPr>
          <w:rFonts w:ascii="Arial" w:hAnsi="Arial" w:cs="Arial"/>
          <w:lang w:val="en-US"/>
        </w:rPr>
        <w:t>Tomotherapy</w:t>
      </w:r>
      <w:proofErr w:type="spellEnd"/>
      <w:r w:rsidRPr="00040D8D">
        <w:rPr>
          <w:rFonts w:ascii="Arial" w:hAnsi="Arial" w:cs="Arial"/>
          <w:lang w:val="en-US"/>
        </w:rPr>
        <w:t>, measurements were made on the Rando at different OAR locations, with a 3 mm slice thickness. The estimations of the dose to the OAR for 1 and 2 mm slice thicknesses were obtained using the ratio of measurements made at the Cheese phantom center for 1, 2 and 3 mm slice thicknesses.</w:t>
      </w:r>
    </w:p>
    <w:p w14:paraId="1FD66B56" w14:textId="77777777" w:rsidR="00040D8D" w:rsidRPr="00040D8D" w:rsidRDefault="00040D8D" w:rsidP="00040D8D">
      <w:pPr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>The dose estimations over the whole treatment were based on 30 acquisitions for CBCT and MVCT and 300 (150 pairs) for CyberKnife.</w:t>
      </w:r>
    </w:p>
    <w:p w14:paraId="7FE07EC8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lang w:val="en-US"/>
        </w:rPr>
      </w:pPr>
      <w:r w:rsidRPr="00040D8D">
        <w:rPr>
          <w:rFonts w:ascii="Arial" w:hAnsi="Arial" w:cs="Arial"/>
          <w:b/>
          <w:lang w:val="en-US"/>
        </w:rPr>
        <w:t xml:space="preserve">Results: </w:t>
      </w:r>
    </w:p>
    <w:p w14:paraId="626CB5DE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lang w:val="en-US"/>
        </w:rPr>
      </w:pPr>
      <w:r w:rsidRPr="00040D8D">
        <w:rPr>
          <w:rFonts w:ascii="Arial" w:hAnsi="Arial" w:cs="Arial"/>
          <w:lang w:val="en-US"/>
        </w:rPr>
        <w:t>The measured doses to OAR for one acquisition and the estimated dose to OAR throughout the whole treatment are presented in the table</w:t>
      </w:r>
      <w:r w:rsidR="006823A0">
        <w:rPr>
          <w:rFonts w:ascii="Arial" w:hAnsi="Arial" w:cs="Arial"/>
          <w:lang w:val="en-US"/>
        </w:rPr>
        <w:t xml:space="preserve"> below</w:t>
      </w:r>
      <w:r w:rsidRPr="00040D8D">
        <w:rPr>
          <w:rFonts w:ascii="Arial" w:hAnsi="Arial" w:cs="Arial"/>
          <w:lang w:val="en-US"/>
        </w:rPr>
        <w:t>.</w:t>
      </w:r>
    </w:p>
    <w:p w14:paraId="7F89DF2F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67441099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393DA79B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0D53BFFA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60F8850D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39153C82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7EBF1992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0444E7C9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627CB34E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64F79465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0904D776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19CA8B82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0A56B234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3AFF1C4E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p w14:paraId="67EDA4A4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  <w:lang w:val="en-US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648"/>
        <w:gridCol w:w="1862"/>
        <w:gridCol w:w="1835"/>
        <w:gridCol w:w="1954"/>
      </w:tblGrid>
      <w:tr w:rsidR="00040D8D" w:rsidRPr="00040D8D" w14:paraId="53049247" w14:textId="77777777" w:rsidTr="00B50E30">
        <w:trPr>
          <w:jc w:val="center"/>
        </w:trPr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D20C49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2E04CA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37AA308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  <w:vAlign w:val="center"/>
          </w:tcPr>
          <w:p w14:paraId="22CD483E" w14:textId="77777777" w:rsidR="00040D8D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pe</w:t>
            </w:r>
            <w:r w:rsidR="00040D8D" w:rsidRPr="00040D8D">
              <w:rPr>
                <w:rFonts w:ascii="Arial" w:hAnsi="Arial" w:cs="Arial"/>
              </w:rPr>
              <w:t>r image (</w:t>
            </w:r>
            <w:proofErr w:type="spellStart"/>
            <w:r w:rsidR="00040D8D" w:rsidRPr="00040D8D">
              <w:rPr>
                <w:rFonts w:ascii="Arial" w:hAnsi="Arial" w:cs="Arial"/>
              </w:rPr>
              <w:t>cGy</w:t>
            </w:r>
            <w:proofErr w:type="spellEnd"/>
            <w:r w:rsidR="00040D8D" w:rsidRPr="00040D8D">
              <w:rPr>
                <w:rFonts w:ascii="Arial" w:hAnsi="Arial" w:cs="Arial"/>
              </w:rPr>
              <w:t>)</w:t>
            </w:r>
          </w:p>
        </w:tc>
        <w:tc>
          <w:tcPr>
            <w:tcW w:w="1954" w:type="dxa"/>
            <w:tcBorders>
              <w:bottom w:val="single" w:sz="18" w:space="0" w:color="auto"/>
            </w:tcBorders>
            <w:vAlign w:val="center"/>
          </w:tcPr>
          <w:p w14:paraId="3859404D" w14:textId="77777777" w:rsidR="00040D8D" w:rsidRPr="00040D8D" w:rsidRDefault="006823A0" w:rsidP="00682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Dose</w:t>
            </w:r>
            <w:r w:rsidR="00040D8D" w:rsidRPr="00040D8D">
              <w:rPr>
                <w:rFonts w:ascii="Arial" w:hAnsi="Arial" w:cs="Arial"/>
              </w:rPr>
              <w:t xml:space="preserve"> (</w:t>
            </w:r>
            <w:proofErr w:type="spellStart"/>
            <w:r w:rsidR="00040D8D" w:rsidRPr="00040D8D">
              <w:rPr>
                <w:rFonts w:ascii="Arial" w:hAnsi="Arial" w:cs="Arial"/>
              </w:rPr>
              <w:t>cGy</w:t>
            </w:r>
            <w:proofErr w:type="spellEnd"/>
            <w:r w:rsidR="00040D8D" w:rsidRPr="00040D8D">
              <w:rPr>
                <w:rFonts w:ascii="Arial" w:hAnsi="Arial" w:cs="Arial"/>
              </w:rPr>
              <w:t>)</w:t>
            </w:r>
          </w:p>
        </w:tc>
      </w:tr>
      <w:tr w:rsidR="00040D8D" w:rsidRPr="00040D8D" w14:paraId="09247E3A" w14:textId="77777777" w:rsidTr="00B50E30">
        <w:trPr>
          <w:jc w:val="center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927E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CBCT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F0C5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Skull</w:t>
            </w:r>
            <w:proofErr w:type="spellEnd"/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9F4A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0.42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4BF1D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12.60</w:t>
            </w:r>
          </w:p>
        </w:tc>
      </w:tr>
      <w:tr w:rsidR="00040D8D" w:rsidRPr="00040D8D" w14:paraId="35BDFCCA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1D8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E509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Pelvis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57D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3.00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7ED0E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90.00</w:t>
            </w:r>
          </w:p>
        </w:tc>
      </w:tr>
      <w:tr w:rsidR="00040D8D" w:rsidRPr="00040D8D" w14:paraId="56744050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97AEE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1D550A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Thorax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545645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E75A6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28.20</w:t>
            </w:r>
          </w:p>
        </w:tc>
      </w:tr>
      <w:tr w:rsidR="006823A0" w:rsidRPr="00040D8D" w14:paraId="5E1BEACD" w14:textId="77777777" w:rsidTr="00B50E30">
        <w:trPr>
          <w:jc w:val="center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4D42331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CyberKnife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D862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Skin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E951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0.09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E875E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13.50</w:t>
            </w:r>
          </w:p>
        </w:tc>
      </w:tr>
      <w:tr w:rsidR="006823A0" w:rsidRPr="00040D8D" w14:paraId="36891354" w14:textId="77777777" w:rsidTr="00B50E30">
        <w:trPr>
          <w:jc w:val="center"/>
        </w:trPr>
        <w:tc>
          <w:tcPr>
            <w:tcW w:w="19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00BA984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730E24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Chiasm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F21ED1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0.06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52A6B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9.00</w:t>
            </w:r>
          </w:p>
        </w:tc>
      </w:tr>
      <w:tr w:rsidR="006823A0" w:rsidRPr="00040D8D" w14:paraId="1E4FF734" w14:textId="77777777" w:rsidTr="00B50E30">
        <w:trPr>
          <w:jc w:val="center"/>
        </w:trPr>
        <w:tc>
          <w:tcPr>
            <w:tcW w:w="19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3B749CB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96C723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Optic</w:t>
            </w:r>
            <w:proofErr w:type="spellEnd"/>
            <w:r w:rsidRPr="00040D8D">
              <w:rPr>
                <w:rFonts w:ascii="Arial" w:hAnsi="Arial" w:cs="Arial"/>
              </w:rPr>
              <w:t xml:space="preserve"> nerves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62741D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0.05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D53AD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7.50</w:t>
            </w:r>
          </w:p>
        </w:tc>
      </w:tr>
      <w:tr w:rsidR="006823A0" w:rsidRPr="00040D8D" w14:paraId="4843720F" w14:textId="77777777" w:rsidTr="00B50E30">
        <w:trPr>
          <w:jc w:val="center"/>
        </w:trPr>
        <w:tc>
          <w:tcPr>
            <w:tcW w:w="19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CCB5A2E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4FA42E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Lungs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5A29CA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0.08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2033F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12.00</w:t>
            </w:r>
          </w:p>
        </w:tc>
      </w:tr>
      <w:tr w:rsidR="006823A0" w:rsidRPr="00040D8D" w14:paraId="0D02FFE2" w14:textId="77777777" w:rsidTr="00B50E30">
        <w:trPr>
          <w:jc w:val="center"/>
        </w:trPr>
        <w:tc>
          <w:tcPr>
            <w:tcW w:w="19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7B920C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9EC614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Femoral</w:t>
            </w:r>
            <w:proofErr w:type="spellEnd"/>
            <w:r w:rsidRPr="00040D8D">
              <w:rPr>
                <w:rFonts w:ascii="Arial" w:hAnsi="Arial" w:cs="Arial"/>
              </w:rPr>
              <w:t xml:space="preserve"> </w:t>
            </w:r>
            <w:proofErr w:type="spellStart"/>
            <w:r w:rsidRPr="00040D8D">
              <w:rPr>
                <w:rFonts w:ascii="Arial" w:hAnsi="Arial" w:cs="Arial"/>
              </w:rPr>
              <w:t>heads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21C06F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0.04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053FD" w14:textId="77777777" w:rsidR="006823A0" w:rsidRPr="00040D8D" w:rsidRDefault="006823A0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6.00</w:t>
            </w:r>
          </w:p>
        </w:tc>
      </w:tr>
      <w:tr w:rsidR="00040D8D" w:rsidRPr="00040D8D" w14:paraId="5A76807F" w14:textId="77777777" w:rsidTr="00B50E30">
        <w:trPr>
          <w:jc w:val="center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34F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MVCT</w:t>
            </w:r>
          </w:p>
        </w:tc>
        <w:tc>
          <w:tcPr>
            <w:tcW w:w="16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42CB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Chiasm</w:t>
            </w:r>
            <w:proofErr w:type="spellEnd"/>
          </w:p>
        </w:tc>
        <w:tc>
          <w:tcPr>
            <w:tcW w:w="18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2A87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 mm slice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738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1.23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9FC7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36.90</w:t>
            </w:r>
          </w:p>
        </w:tc>
      </w:tr>
      <w:tr w:rsidR="00040D8D" w:rsidRPr="00040D8D" w14:paraId="41FB6C68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753C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444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5A1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2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F999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1.73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417A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51.90</w:t>
            </w:r>
          </w:p>
        </w:tc>
      </w:tr>
      <w:tr w:rsidR="00040D8D" w:rsidRPr="00040D8D" w14:paraId="2C4DCD06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A15A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F627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04B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E1ED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3.64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D422F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109.20</w:t>
            </w:r>
          </w:p>
        </w:tc>
      </w:tr>
      <w:tr w:rsidR="00040D8D" w:rsidRPr="00040D8D" w14:paraId="5E99FCC5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25B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A7DB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 xml:space="preserve">Spinal </w:t>
            </w:r>
            <w:proofErr w:type="spellStart"/>
            <w:r w:rsidRPr="00040D8D">
              <w:rPr>
                <w:rFonts w:ascii="Arial" w:hAnsi="Arial" w:cs="Arial"/>
              </w:rPr>
              <w:t>cord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4B0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6C6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69D195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36.30</w:t>
            </w:r>
          </w:p>
        </w:tc>
      </w:tr>
      <w:tr w:rsidR="00040D8D" w:rsidRPr="00040D8D" w14:paraId="7FF6AC37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01E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1FA8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40BB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2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1177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9B94D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51.30</w:t>
            </w:r>
          </w:p>
        </w:tc>
      </w:tr>
      <w:tr w:rsidR="00040D8D" w:rsidRPr="00040D8D" w14:paraId="4BFF321E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B3E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F9B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8FD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AF6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3.58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3F447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107.40</w:t>
            </w:r>
          </w:p>
        </w:tc>
      </w:tr>
      <w:tr w:rsidR="00040D8D" w:rsidRPr="00040D8D" w14:paraId="3A10130C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791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8F0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Lung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605F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072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1.09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E8F66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32.70</w:t>
            </w:r>
          </w:p>
        </w:tc>
      </w:tr>
      <w:tr w:rsidR="00040D8D" w:rsidRPr="00040D8D" w14:paraId="0013B5BE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88C8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16D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A95E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2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59A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C7791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46.20</w:t>
            </w:r>
          </w:p>
        </w:tc>
      </w:tr>
      <w:tr w:rsidR="00040D8D" w:rsidRPr="00040D8D" w14:paraId="3F91D57C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F91E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A521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B116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4EF1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3.23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644FF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96.90</w:t>
            </w:r>
          </w:p>
        </w:tc>
      </w:tr>
      <w:tr w:rsidR="00040D8D" w:rsidRPr="00040D8D" w14:paraId="3F7ABB39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D0A2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C7D9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40D8D">
              <w:rPr>
                <w:rFonts w:ascii="Arial" w:hAnsi="Arial" w:cs="Arial"/>
              </w:rPr>
              <w:t>Femoral</w:t>
            </w:r>
            <w:proofErr w:type="spellEnd"/>
            <w:r w:rsidRPr="00040D8D">
              <w:rPr>
                <w:rFonts w:ascii="Arial" w:hAnsi="Arial" w:cs="Arial"/>
              </w:rPr>
              <w:t xml:space="preserve"> </w:t>
            </w:r>
            <w:proofErr w:type="spellStart"/>
            <w:r w:rsidRPr="00040D8D">
              <w:rPr>
                <w:rFonts w:ascii="Arial" w:hAnsi="Arial" w:cs="Arial"/>
              </w:rPr>
              <w:t>heads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800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C51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1C5B5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33.00</w:t>
            </w:r>
          </w:p>
        </w:tc>
      </w:tr>
      <w:tr w:rsidR="00040D8D" w:rsidRPr="00040D8D" w14:paraId="17F93569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46F5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094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042B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2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9B44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1.55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258200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46.50</w:t>
            </w:r>
          </w:p>
        </w:tc>
      </w:tr>
      <w:tr w:rsidR="00040D8D" w:rsidRPr="00040D8D" w14:paraId="32AE3059" w14:textId="77777777" w:rsidTr="00B50E30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82B6EA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B00A93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925B88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1 mm slice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CE37BE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3.26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D2481" w14:textId="77777777" w:rsidR="00040D8D" w:rsidRPr="00040D8D" w:rsidRDefault="00040D8D" w:rsidP="00040D8D">
            <w:pPr>
              <w:spacing w:after="0"/>
              <w:jc w:val="center"/>
              <w:rPr>
                <w:rFonts w:ascii="Arial" w:hAnsi="Arial" w:cs="Arial"/>
              </w:rPr>
            </w:pPr>
            <w:r w:rsidRPr="00040D8D">
              <w:rPr>
                <w:rFonts w:ascii="Arial" w:hAnsi="Arial" w:cs="Arial"/>
              </w:rPr>
              <w:t>97.80</w:t>
            </w:r>
          </w:p>
        </w:tc>
      </w:tr>
    </w:tbl>
    <w:p w14:paraId="5F8184BF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  <w:highlight w:val="yellow"/>
        </w:rPr>
      </w:pPr>
    </w:p>
    <w:p w14:paraId="06CE78FE" w14:textId="77777777" w:rsidR="00040D8D" w:rsidRPr="00040D8D" w:rsidRDefault="00040D8D" w:rsidP="00040D8D">
      <w:pPr>
        <w:spacing w:after="0"/>
        <w:jc w:val="both"/>
        <w:rPr>
          <w:rFonts w:ascii="Arial" w:hAnsi="Arial" w:cs="Arial"/>
          <w:b/>
        </w:rPr>
      </w:pPr>
      <w:r w:rsidRPr="00040D8D">
        <w:rPr>
          <w:rFonts w:ascii="Arial" w:hAnsi="Arial" w:cs="Arial"/>
          <w:b/>
        </w:rPr>
        <w:t xml:space="preserve">Discussion and conclusion: </w:t>
      </w:r>
    </w:p>
    <w:p w14:paraId="3A046770" w14:textId="74E49779" w:rsidR="002139A0" w:rsidRPr="00040D8D" w:rsidRDefault="00040D8D" w:rsidP="00040D8D">
      <w:pPr>
        <w:jc w:val="both"/>
      </w:pPr>
      <w:r w:rsidRPr="00040D8D">
        <w:rPr>
          <w:rFonts w:ascii="Arial" w:hAnsi="Arial" w:cs="Arial"/>
          <w:lang w:val="en-US"/>
        </w:rPr>
        <w:t xml:space="preserve">The optimization of CBCT protocols on Varian systems allows daily IGRT without exceeding a delivered dose of 1 </w:t>
      </w:r>
      <w:proofErr w:type="spellStart"/>
      <w:r w:rsidRPr="00040D8D">
        <w:rPr>
          <w:rFonts w:ascii="Arial" w:hAnsi="Arial" w:cs="Arial"/>
          <w:lang w:val="en-US"/>
        </w:rPr>
        <w:t>Gy</w:t>
      </w:r>
      <w:proofErr w:type="spellEnd"/>
      <w:r w:rsidRPr="00040D8D">
        <w:rPr>
          <w:rFonts w:ascii="Arial" w:hAnsi="Arial" w:cs="Arial"/>
          <w:lang w:val="en-US"/>
        </w:rPr>
        <w:t xml:space="preserve"> for the whole treatment, threshold from which no action is taken </w:t>
      </w:r>
      <w:r>
        <w:rPr>
          <w:rFonts w:ascii="Arial" w:hAnsi="Arial" w:cs="Arial"/>
          <w:lang w:val="en-US"/>
        </w:rPr>
        <w:t>in the ICL service</w:t>
      </w:r>
      <w:r w:rsidRPr="00040D8D">
        <w:rPr>
          <w:rFonts w:ascii="Arial" w:hAnsi="Arial" w:cs="Arial"/>
          <w:lang w:val="en-US"/>
        </w:rPr>
        <w:t xml:space="preserve">. For the CK, the skin dose provided by the tracking images is less than </w:t>
      </w:r>
      <w:r>
        <w:rPr>
          <w:rFonts w:ascii="Arial" w:hAnsi="Arial" w:cs="Arial"/>
          <w:lang w:val="en-US"/>
        </w:rPr>
        <w:t>0.</w:t>
      </w:r>
      <w:r w:rsidRPr="00040D8D">
        <w:rPr>
          <w:rFonts w:ascii="Arial" w:hAnsi="Arial" w:cs="Arial"/>
          <w:lang w:val="en-US"/>
        </w:rPr>
        <w:t>15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040D8D">
        <w:rPr>
          <w:rFonts w:ascii="Arial" w:hAnsi="Arial" w:cs="Arial"/>
          <w:lang w:val="en-US"/>
        </w:rPr>
        <w:t>Gy</w:t>
      </w:r>
      <w:proofErr w:type="spellEnd"/>
      <w:r w:rsidRPr="00040D8D">
        <w:rPr>
          <w:rFonts w:ascii="Arial" w:hAnsi="Arial" w:cs="Arial"/>
          <w:lang w:val="en-US"/>
        </w:rPr>
        <w:t xml:space="preserve"> for the whole treatment. In </w:t>
      </w:r>
      <w:proofErr w:type="spellStart"/>
      <w:r w:rsidRPr="00040D8D">
        <w:rPr>
          <w:rFonts w:ascii="Arial" w:hAnsi="Arial" w:cs="Arial"/>
          <w:lang w:val="en-US"/>
        </w:rPr>
        <w:t>Tomotherapy</w:t>
      </w:r>
      <w:proofErr w:type="spellEnd"/>
      <w:r w:rsidRPr="00040D8D">
        <w:rPr>
          <w:rFonts w:ascii="Arial" w:hAnsi="Arial" w:cs="Arial"/>
          <w:lang w:val="en-US"/>
        </w:rPr>
        <w:t xml:space="preserve">, the dose provided by the MVCT with a 3 mm slice thickness </w:t>
      </w:r>
      <w:r>
        <w:rPr>
          <w:rFonts w:ascii="Arial" w:hAnsi="Arial" w:cs="Arial"/>
          <w:lang w:val="en-US"/>
        </w:rPr>
        <w:t>remains below 0.</w:t>
      </w:r>
      <w:r w:rsidRPr="00040D8D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0</w:t>
      </w:r>
      <w:r w:rsidR="00B50E30">
        <w:rPr>
          <w:rFonts w:ascii="Arial" w:hAnsi="Arial" w:cs="Arial"/>
          <w:lang w:val="en-US"/>
        </w:rPr>
        <w:t xml:space="preserve"> </w:t>
      </w:r>
      <w:proofErr w:type="spellStart"/>
      <w:r w:rsidR="00B50E30">
        <w:rPr>
          <w:rFonts w:ascii="Arial" w:hAnsi="Arial" w:cs="Arial"/>
          <w:lang w:val="en-US"/>
        </w:rPr>
        <w:t>Gy</w:t>
      </w:r>
      <w:proofErr w:type="spellEnd"/>
      <w:r w:rsidR="00B50E30">
        <w:rPr>
          <w:rFonts w:ascii="Arial" w:hAnsi="Arial" w:cs="Arial"/>
          <w:lang w:val="en-US"/>
        </w:rPr>
        <w:t>. In compar</w:t>
      </w:r>
      <w:r w:rsidRPr="00040D8D">
        <w:rPr>
          <w:rFonts w:ascii="Arial" w:hAnsi="Arial" w:cs="Arial"/>
          <w:lang w:val="en-US"/>
        </w:rPr>
        <w:t>ison with the 3 mm acquisition, using a 2 mm and 1 mm slice thicknesses increase the dose to OAR by a factor of 1.41 and 2.96 respectively and the</w:t>
      </w:r>
      <w:r>
        <w:rPr>
          <w:rFonts w:ascii="Arial" w:hAnsi="Arial" w:cs="Arial"/>
          <w:lang w:val="en-US"/>
        </w:rPr>
        <w:t xml:space="preserve"> </w:t>
      </w:r>
      <w:r w:rsidRPr="00040D8D">
        <w:rPr>
          <w:rFonts w:ascii="Arial" w:hAnsi="Arial" w:cs="Arial"/>
          <w:lang w:val="en-US"/>
        </w:rPr>
        <w:t xml:space="preserve">delivered dose in IGRT can exceed 1 </w:t>
      </w:r>
      <w:proofErr w:type="spellStart"/>
      <w:r w:rsidRPr="00040D8D">
        <w:rPr>
          <w:rFonts w:ascii="Arial" w:hAnsi="Arial" w:cs="Arial"/>
          <w:lang w:val="en-US"/>
        </w:rPr>
        <w:t>Gy</w:t>
      </w:r>
      <w:proofErr w:type="spellEnd"/>
      <w:r w:rsidRPr="00040D8D">
        <w:rPr>
          <w:rFonts w:ascii="Arial" w:hAnsi="Arial" w:cs="Arial"/>
          <w:lang w:val="en-US"/>
        </w:rPr>
        <w:t xml:space="preserve"> for a 1 mm slice</w:t>
      </w:r>
      <w:r>
        <w:rPr>
          <w:rFonts w:ascii="Arial" w:hAnsi="Arial" w:cs="Arial"/>
          <w:lang w:val="en-US"/>
        </w:rPr>
        <w:t xml:space="preserve"> </w:t>
      </w:r>
      <w:r w:rsidRPr="00040D8D">
        <w:rPr>
          <w:rFonts w:ascii="Arial" w:hAnsi="Arial" w:cs="Arial"/>
          <w:lang w:val="en-US"/>
        </w:rPr>
        <w:t>thickness.</w:t>
      </w:r>
    </w:p>
    <w:sectPr w:rsidR="002139A0" w:rsidRPr="00040D8D" w:rsidSect="00A567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8D"/>
    <w:rsid w:val="00040D8D"/>
    <w:rsid w:val="001856B9"/>
    <w:rsid w:val="002139A0"/>
    <w:rsid w:val="006823A0"/>
    <w:rsid w:val="00960FA3"/>
    <w:rsid w:val="00A567A1"/>
    <w:rsid w:val="00B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5D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D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D8D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D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D8D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2922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 Moigne</dc:creator>
  <cp:keywords/>
  <dc:description/>
  <cp:lastModifiedBy>Camille Le Moigne</cp:lastModifiedBy>
  <cp:revision>4</cp:revision>
  <dcterms:created xsi:type="dcterms:W3CDTF">2016-03-31T17:29:00Z</dcterms:created>
  <dcterms:modified xsi:type="dcterms:W3CDTF">2016-04-01T07:26:00Z</dcterms:modified>
</cp:coreProperties>
</file>