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04" w:rsidRPr="003467DC" w:rsidRDefault="00307004" w:rsidP="00307004">
      <w:pPr>
        <w:spacing w:line="259" w:lineRule="auto"/>
        <w:jc w:val="center"/>
        <w:rPr>
          <w:b/>
          <w:sz w:val="20"/>
          <w:szCs w:val="22"/>
          <w:lang w:val="en-US"/>
        </w:rPr>
      </w:pPr>
      <w:r w:rsidRPr="003467DC">
        <w:rPr>
          <w:b/>
          <w:sz w:val="20"/>
          <w:szCs w:val="22"/>
          <w:lang w:val="en-US"/>
        </w:rPr>
        <w:t>Stereotactic radiotherapy for brain metastase</w:t>
      </w:r>
      <w:r w:rsidR="00196DAA" w:rsidRPr="003467DC">
        <w:rPr>
          <w:b/>
          <w:sz w:val="20"/>
          <w:szCs w:val="22"/>
          <w:lang w:val="en-US"/>
        </w:rPr>
        <w:t xml:space="preserve">s: </w:t>
      </w:r>
      <w:proofErr w:type="spellStart"/>
      <w:r w:rsidR="00196DAA" w:rsidRPr="003467DC">
        <w:rPr>
          <w:b/>
          <w:sz w:val="20"/>
          <w:szCs w:val="22"/>
          <w:lang w:val="en-US"/>
        </w:rPr>
        <w:t>Cyberknife</w:t>
      </w:r>
      <w:proofErr w:type="spellEnd"/>
      <w:r w:rsidR="00196DAA" w:rsidRPr="003467DC">
        <w:rPr>
          <w:b/>
          <w:sz w:val="20"/>
          <w:szCs w:val="22"/>
          <w:lang w:val="en-US"/>
        </w:rPr>
        <w:t xml:space="preserve">® versus </w:t>
      </w:r>
      <w:proofErr w:type="spellStart"/>
      <w:r w:rsidR="00196DAA" w:rsidRPr="003467DC">
        <w:rPr>
          <w:b/>
          <w:sz w:val="20"/>
          <w:szCs w:val="22"/>
          <w:lang w:val="en-US"/>
        </w:rPr>
        <w:t>VersaHD</w:t>
      </w:r>
      <w:proofErr w:type="spellEnd"/>
      <w:r w:rsidR="00196DAA" w:rsidRPr="003467DC">
        <w:rPr>
          <w:b/>
          <w:sz w:val="20"/>
          <w:szCs w:val="22"/>
          <w:lang w:val="en-US"/>
        </w:rPr>
        <w:t xml:space="preserve">®/ </w:t>
      </w:r>
      <w:proofErr w:type="spellStart"/>
      <w:r w:rsidR="00196DAA" w:rsidRPr="003467DC">
        <w:rPr>
          <w:b/>
          <w:sz w:val="20"/>
          <w:szCs w:val="22"/>
          <w:lang w:val="en-US"/>
        </w:rPr>
        <w:t>E</w:t>
      </w:r>
      <w:r w:rsidRPr="003467DC">
        <w:rPr>
          <w:b/>
          <w:sz w:val="20"/>
          <w:szCs w:val="22"/>
          <w:lang w:val="en-US"/>
        </w:rPr>
        <w:t>xacTrac</w:t>
      </w:r>
      <w:proofErr w:type="spellEnd"/>
      <w:r w:rsidRPr="003467DC">
        <w:rPr>
          <w:b/>
          <w:sz w:val="20"/>
          <w:szCs w:val="22"/>
          <w:lang w:val="en-US"/>
        </w:rPr>
        <w:t>®</w:t>
      </w:r>
    </w:p>
    <w:p w:rsidR="00CC60EF" w:rsidRDefault="00757C96" w:rsidP="00757C96">
      <w:pPr>
        <w:jc w:val="center"/>
        <w:rPr>
          <w:i/>
          <w:sz w:val="20"/>
          <w:szCs w:val="22"/>
        </w:rPr>
      </w:pPr>
      <w:r w:rsidRPr="00CC60EF">
        <w:rPr>
          <w:i/>
          <w:sz w:val="20"/>
          <w:szCs w:val="22"/>
        </w:rPr>
        <w:t xml:space="preserve">M. </w:t>
      </w:r>
      <w:proofErr w:type="spellStart"/>
      <w:r w:rsidRPr="00CC60EF">
        <w:rPr>
          <w:i/>
          <w:sz w:val="20"/>
          <w:szCs w:val="22"/>
        </w:rPr>
        <w:t>Perdrieux</w:t>
      </w:r>
      <w:proofErr w:type="spellEnd"/>
      <w:r w:rsidR="00CC60EF" w:rsidRPr="00CC60EF">
        <w:rPr>
          <w:i/>
          <w:sz w:val="20"/>
          <w:szCs w:val="22"/>
        </w:rPr>
        <w:t xml:space="preserve"> </w:t>
      </w:r>
      <w:r w:rsidR="00CC60EF" w:rsidRPr="00CC60EF">
        <w:rPr>
          <w:i/>
          <w:sz w:val="20"/>
          <w:szCs w:val="22"/>
          <w:vertAlign w:val="superscript"/>
        </w:rPr>
        <w:t>1</w:t>
      </w:r>
      <w:r w:rsidRPr="00CC60EF">
        <w:rPr>
          <w:i/>
          <w:sz w:val="20"/>
          <w:szCs w:val="22"/>
        </w:rPr>
        <w:t>, M. Céleste</w:t>
      </w:r>
      <w:r w:rsidR="00CC60EF">
        <w:rPr>
          <w:i/>
          <w:sz w:val="20"/>
          <w:szCs w:val="22"/>
        </w:rPr>
        <w:t xml:space="preserve"> </w:t>
      </w:r>
      <w:r w:rsidR="00CC60EF" w:rsidRPr="00CC60EF">
        <w:rPr>
          <w:i/>
          <w:sz w:val="20"/>
          <w:szCs w:val="22"/>
          <w:vertAlign w:val="superscript"/>
        </w:rPr>
        <w:t>1</w:t>
      </w:r>
      <w:r w:rsidRPr="00CC60EF">
        <w:rPr>
          <w:i/>
          <w:sz w:val="20"/>
          <w:szCs w:val="22"/>
        </w:rPr>
        <w:t xml:space="preserve">, I. </w:t>
      </w:r>
      <w:proofErr w:type="spellStart"/>
      <w:r w:rsidRPr="00CC60EF">
        <w:rPr>
          <w:i/>
          <w:sz w:val="20"/>
          <w:szCs w:val="22"/>
        </w:rPr>
        <w:t>Lecouillard</w:t>
      </w:r>
      <w:proofErr w:type="spellEnd"/>
      <w:r w:rsidR="00CC60EF">
        <w:rPr>
          <w:i/>
          <w:sz w:val="20"/>
          <w:szCs w:val="22"/>
        </w:rPr>
        <w:t xml:space="preserve"> </w:t>
      </w:r>
      <w:r w:rsidR="00CC60EF" w:rsidRPr="00CC60EF">
        <w:rPr>
          <w:i/>
          <w:sz w:val="20"/>
          <w:szCs w:val="22"/>
          <w:vertAlign w:val="superscript"/>
        </w:rPr>
        <w:t>1</w:t>
      </w:r>
      <w:r w:rsidRPr="00CC60EF">
        <w:rPr>
          <w:i/>
          <w:sz w:val="20"/>
          <w:szCs w:val="22"/>
        </w:rPr>
        <w:t xml:space="preserve">, E. </w:t>
      </w:r>
      <w:proofErr w:type="spellStart"/>
      <w:r w:rsidRPr="00CC60EF">
        <w:rPr>
          <w:i/>
          <w:sz w:val="20"/>
          <w:szCs w:val="22"/>
        </w:rPr>
        <w:t>Nouhaud</w:t>
      </w:r>
      <w:proofErr w:type="spellEnd"/>
      <w:r w:rsidR="00CC60EF">
        <w:rPr>
          <w:i/>
          <w:sz w:val="20"/>
          <w:szCs w:val="22"/>
        </w:rPr>
        <w:t xml:space="preserve"> </w:t>
      </w:r>
      <w:r w:rsidR="00CC60EF" w:rsidRPr="00CC60EF">
        <w:rPr>
          <w:i/>
          <w:sz w:val="20"/>
          <w:szCs w:val="22"/>
          <w:vertAlign w:val="superscript"/>
        </w:rPr>
        <w:t>1</w:t>
      </w:r>
      <w:r w:rsidRPr="00CC60EF">
        <w:rPr>
          <w:i/>
          <w:sz w:val="20"/>
          <w:szCs w:val="22"/>
        </w:rPr>
        <w:t xml:space="preserve">, C. </w:t>
      </w:r>
      <w:proofErr w:type="spellStart"/>
      <w:r w:rsidRPr="00CC60EF">
        <w:rPr>
          <w:i/>
          <w:sz w:val="20"/>
          <w:szCs w:val="22"/>
        </w:rPr>
        <w:t>Blay</w:t>
      </w:r>
      <w:proofErr w:type="spellEnd"/>
      <w:r w:rsidR="00CC60EF">
        <w:rPr>
          <w:i/>
          <w:sz w:val="20"/>
          <w:szCs w:val="22"/>
        </w:rPr>
        <w:t xml:space="preserve"> </w:t>
      </w:r>
      <w:r w:rsidR="00CC60EF" w:rsidRPr="00CC60EF">
        <w:rPr>
          <w:i/>
          <w:sz w:val="20"/>
          <w:szCs w:val="22"/>
          <w:vertAlign w:val="superscript"/>
        </w:rPr>
        <w:t>1</w:t>
      </w:r>
      <w:r w:rsidRPr="00CC60EF">
        <w:rPr>
          <w:i/>
          <w:sz w:val="20"/>
          <w:szCs w:val="22"/>
        </w:rPr>
        <w:t xml:space="preserve">, </w:t>
      </w:r>
    </w:p>
    <w:p w:rsidR="00757C96" w:rsidRPr="00CC60EF" w:rsidRDefault="00757C96" w:rsidP="00757C96">
      <w:pPr>
        <w:jc w:val="center"/>
        <w:rPr>
          <w:i/>
          <w:sz w:val="20"/>
          <w:szCs w:val="22"/>
        </w:rPr>
      </w:pPr>
      <w:r w:rsidRPr="00CC60EF">
        <w:rPr>
          <w:i/>
          <w:sz w:val="20"/>
          <w:szCs w:val="22"/>
        </w:rPr>
        <w:t xml:space="preserve">F. </w:t>
      </w:r>
      <w:proofErr w:type="spellStart"/>
      <w:r w:rsidRPr="00CC60EF">
        <w:rPr>
          <w:i/>
          <w:sz w:val="20"/>
          <w:szCs w:val="22"/>
        </w:rPr>
        <w:t>Jouyaux</w:t>
      </w:r>
      <w:proofErr w:type="spellEnd"/>
      <w:r w:rsidR="00CC60EF">
        <w:rPr>
          <w:i/>
          <w:sz w:val="20"/>
          <w:szCs w:val="22"/>
        </w:rPr>
        <w:t xml:space="preserve"> </w:t>
      </w:r>
      <w:r w:rsidR="00CC60EF" w:rsidRPr="00CC60EF">
        <w:rPr>
          <w:i/>
          <w:sz w:val="20"/>
          <w:szCs w:val="22"/>
          <w:vertAlign w:val="superscript"/>
        </w:rPr>
        <w:t>1</w:t>
      </w:r>
      <w:r w:rsidRPr="00CC60EF">
        <w:rPr>
          <w:i/>
          <w:sz w:val="20"/>
          <w:szCs w:val="22"/>
        </w:rPr>
        <w:t xml:space="preserve">, N. </w:t>
      </w:r>
      <w:proofErr w:type="spellStart"/>
      <w:r w:rsidRPr="00CC60EF">
        <w:rPr>
          <w:i/>
          <w:sz w:val="20"/>
          <w:szCs w:val="22"/>
        </w:rPr>
        <w:t>Delaby</w:t>
      </w:r>
      <w:proofErr w:type="spellEnd"/>
      <w:r w:rsidR="00CC60EF">
        <w:rPr>
          <w:i/>
          <w:sz w:val="20"/>
          <w:szCs w:val="22"/>
        </w:rPr>
        <w:t xml:space="preserve"> </w:t>
      </w:r>
      <w:r w:rsidR="00CC60EF" w:rsidRPr="00CC60EF">
        <w:rPr>
          <w:i/>
          <w:sz w:val="20"/>
          <w:szCs w:val="22"/>
          <w:vertAlign w:val="superscript"/>
        </w:rPr>
        <w:t>1</w:t>
      </w:r>
      <w:r w:rsidRPr="00CC60EF">
        <w:rPr>
          <w:i/>
          <w:sz w:val="20"/>
          <w:szCs w:val="22"/>
        </w:rPr>
        <w:t>,</w:t>
      </w:r>
      <w:r w:rsidR="00CC60EF">
        <w:rPr>
          <w:i/>
          <w:sz w:val="20"/>
          <w:szCs w:val="22"/>
        </w:rPr>
        <w:t xml:space="preserve"> </w:t>
      </w:r>
      <w:r w:rsidRPr="00CC60EF">
        <w:rPr>
          <w:i/>
          <w:sz w:val="20"/>
          <w:szCs w:val="22"/>
        </w:rPr>
        <w:t>J. Bellec</w:t>
      </w:r>
      <w:r w:rsidR="00CC60EF">
        <w:rPr>
          <w:i/>
          <w:sz w:val="20"/>
          <w:szCs w:val="22"/>
        </w:rPr>
        <w:t xml:space="preserve"> </w:t>
      </w:r>
      <w:r w:rsidR="00CC60EF" w:rsidRPr="00CC60EF">
        <w:rPr>
          <w:i/>
          <w:sz w:val="20"/>
          <w:szCs w:val="22"/>
          <w:vertAlign w:val="superscript"/>
        </w:rPr>
        <w:t>1</w:t>
      </w:r>
      <w:r w:rsidRPr="00CC60EF">
        <w:rPr>
          <w:i/>
          <w:sz w:val="20"/>
          <w:szCs w:val="22"/>
        </w:rPr>
        <w:t>, C. Lafond</w:t>
      </w:r>
      <w:r w:rsidR="00CC60EF">
        <w:rPr>
          <w:i/>
          <w:sz w:val="20"/>
          <w:szCs w:val="22"/>
        </w:rPr>
        <w:t xml:space="preserve"> </w:t>
      </w:r>
      <w:r w:rsidR="00CC60EF" w:rsidRPr="00CC60EF">
        <w:rPr>
          <w:i/>
          <w:sz w:val="20"/>
          <w:szCs w:val="22"/>
          <w:vertAlign w:val="superscript"/>
        </w:rPr>
        <w:t>1, 2,3</w:t>
      </w:r>
    </w:p>
    <w:p w:rsidR="00CC60EF" w:rsidRDefault="00CC60EF" w:rsidP="00CC60EF">
      <w:pPr>
        <w:spacing w:line="259" w:lineRule="auto"/>
        <w:rPr>
          <w:sz w:val="20"/>
          <w:szCs w:val="22"/>
        </w:rPr>
      </w:pPr>
    </w:p>
    <w:p w:rsidR="00CC60EF" w:rsidRPr="00CC60EF" w:rsidRDefault="00CC60EF" w:rsidP="00CC60EF">
      <w:pPr>
        <w:spacing w:line="259" w:lineRule="auto"/>
        <w:rPr>
          <w:i/>
          <w:sz w:val="20"/>
          <w:szCs w:val="22"/>
        </w:rPr>
      </w:pPr>
      <w:r w:rsidRPr="00CC60EF">
        <w:rPr>
          <w:i/>
          <w:sz w:val="20"/>
          <w:szCs w:val="22"/>
        </w:rPr>
        <w:t xml:space="preserve">1 - Centre Eugene Marquis, </w:t>
      </w:r>
      <w:proofErr w:type="spellStart"/>
      <w:r w:rsidRPr="00CC60EF">
        <w:rPr>
          <w:i/>
          <w:sz w:val="20"/>
          <w:szCs w:val="22"/>
        </w:rPr>
        <w:t>radiotherapy</w:t>
      </w:r>
      <w:proofErr w:type="spellEnd"/>
      <w:r w:rsidRPr="00CC60EF">
        <w:rPr>
          <w:i/>
          <w:sz w:val="20"/>
          <w:szCs w:val="22"/>
        </w:rPr>
        <w:t xml:space="preserve">, Rennes, France. </w:t>
      </w:r>
    </w:p>
    <w:p w:rsidR="00CC60EF" w:rsidRPr="00CC60EF" w:rsidRDefault="00CC60EF" w:rsidP="00CC60EF">
      <w:pPr>
        <w:spacing w:line="259" w:lineRule="auto"/>
        <w:rPr>
          <w:i/>
          <w:sz w:val="20"/>
          <w:szCs w:val="22"/>
          <w:lang w:val="en-US"/>
        </w:rPr>
      </w:pPr>
      <w:r w:rsidRPr="00CC60EF">
        <w:rPr>
          <w:i/>
          <w:sz w:val="20"/>
          <w:szCs w:val="22"/>
          <w:lang w:val="en-US"/>
        </w:rPr>
        <w:t xml:space="preserve">2 - INSERM, U 1099, Rennes, France. </w:t>
      </w:r>
    </w:p>
    <w:p w:rsidR="00CC60EF" w:rsidRPr="00CC60EF" w:rsidRDefault="00CC60EF" w:rsidP="00CC60EF">
      <w:pPr>
        <w:spacing w:line="259" w:lineRule="auto"/>
        <w:rPr>
          <w:i/>
          <w:sz w:val="20"/>
          <w:szCs w:val="22"/>
          <w:lang w:val="en-US"/>
        </w:rPr>
      </w:pPr>
      <w:r w:rsidRPr="00CC60EF">
        <w:rPr>
          <w:i/>
          <w:sz w:val="20"/>
          <w:szCs w:val="22"/>
          <w:lang w:val="en-US"/>
        </w:rPr>
        <w:t xml:space="preserve">3 - </w:t>
      </w:r>
      <w:proofErr w:type="spellStart"/>
      <w:r w:rsidRPr="00CC60EF">
        <w:rPr>
          <w:i/>
          <w:sz w:val="20"/>
          <w:szCs w:val="22"/>
          <w:lang w:val="en-US"/>
        </w:rPr>
        <w:t>University</w:t>
      </w:r>
      <w:proofErr w:type="spellEnd"/>
      <w:r w:rsidRPr="00CC60EF">
        <w:rPr>
          <w:i/>
          <w:sz w:val="20"/>
          <w:szCs w:val="22"/>
          <w:lang w:val="en-US"/>
        </w:rPr>
        <w:t xml:space="preserve"> Rennes 1, LTSI, Rennes, France. </w:t>
      </w:r>
    </w:p>
    <w:p w:rsidR="00307004" w:rsidRDefault="00307004" w:rsidP="00307004">
      <w:pPr>
        <w:spacing w:line="259" w:lineRule="auto"/>
        <w:rPr>
          <w:b/>
          <w:sz w:val="22"/>
          <w:szCs w:val="22"/>
        </w:rPr>
      </w:pPr>
    </w:p>
    <w:p w:rsidR="00307004" w:rsidRPr="003467DC" w:rsidRDefault="00307004" w:rsidP="00307004">
      <w:pPr>
        <w:spacing w:line="259" w:lineRule="auto"/>
        <w:rPr>
          <w:b/>
          <w:sz w:val="20"/>
          <w:szCs w:val="22"/>
          <w:lang w:val="en-US"/>
        </w:rPr>
      </w:pPr>
      <w:proofErr w:type="gramStart"/>
      <w:r w:rsidRPr="003467DC">
        <w:rPr>
          <w:b/>
          <w:sz w:val="20"/>
          <w:szCs w:val="22"/>
          <w:lang w:val="en-US"/>
        </w:rPr>
        <w:t>Introduction :</w:t>
      </w:r>
      <w:proofErr w:type="gramEnd"/>
    </w:p>
    <w:p w:rsidR="00307004" w:rsidRPr="003467DC" w:rsidRDefault="00307004" w:rsidP="00307004">
      <w:pPr>
        <w:spacing w:line="259" w:lineRule="auto"/>
        <w:jc w:val="both"/>
        <w:rPr>
          <w:sz w:val="20"/>
          <w:szCs w:val="22"/>
          <w:lang w:val="en-US"/>
        </w:rPr>
      </w:pPr>
      <w:r w:rsidRPr="003467DC">
        <w:rPr>
          <w:sz w:val="20"/>
          <w:szCs w:val="22"/>
          <w:lang w:val="en-US"/>
        </w:rPr>
        <w:t xml:space="preserve">The objective of this study is to compare the </w:t>
      </w:r>
      <w:proofErr w:type="spellStart"/>
      <w:r w:rsidRPr="003467DC">
        <w:rPr>
          <w:sz w:val="20"/>
          <w:szCs w:val="22"/>
          <w:lang w:val="en-US"/>
        </w:rPr>
        <w:t>dosimetric</w:t>
      </w:r>
      <w:proofErr w:type="spellEnd"/>
      <w:r w:rsidRPr="003467DC">
        <w:rPr>
          <w:sz w:val="20"/>
          <w:szCs w:val="22"/>
          <w:lang w:val="en-US"/>
        </w:rPr>
        <w:t xml:space="preserve"> and geometric performances of the </w:t>
      </w:r>
      <w:proofErr w:type="spellStart"/>
      <w:r w:rsidRPr="003467DC">
        <w:rPr>
          <w:sz w:val="20"/>
          <w:szCs w:val="22"/>
          <w:lang w:val="en-US"/>
        </w:rPr>
        <w:t>CyberKnife</w:t>
      </w:r>
      <w:proofErr w:type="spellEnd"/>
      <w:r w:rsidRPr="003467DC">
        <w:rPr>
          <w:sz w:val="20"/>
          <w:szCs w:val="22"/>
          <w:lang w:val="en-US"/>
        </w:rPr>
        <w:t xml:space="preserve"> (</w:t>
      </w:r>
      <w:proofErr w:type="spellStart"/>
      <w:r w:rsidRPr="003467DC">
        <w:rPr>
          <w:sz w:val="20"/>
          <w:szCs w:val="22"/>
          <w:lang w:val="en-US"/>
        </w:rPr>
        <w:t>Accuray</w:t>
      </w:r>
      <w:proofErr w:type="spellEnd"/>
      <w:r w:rsidRPr="003467DC">
        <w:rPr>
          <w:sz w:val="20"/>
          <w:szCs w:val="22"/>
          <w:lang w:val="en-US"/>
        </w:rPr>
        <w:t xml:space="preserve">) and </w:t>
      </w:r>
      <w:proofErr w:type="spellStart"/>
      <w:r w:rsidRPr="003467DC">
        <w:rPr>
          <w:sz w:val="20"/>
          <w:szCs w:val="22"/>
          <w:lang w:val="en-US"/>
        </w:rPr>
        <w:t>VersaHD</w:t>
      </w:r>
      <w:proofErr w:type="spellEnd"/>
      <w:r w:rsidRPr="003467DC">
        <w:rPr>
          <w:sz w:val="20"/>
          <w:szCs w:val="22"/>
          <w:lang w:val="en-US"/>
        </w:rPr>
        <w:t xml:space="preserve"> (Elekta) with the </w:t>
      </w:r>
      <w:proofErr w:type="spellStart"/>
      <w:r w:rsidRPr="003467DC">
        <w:rPr>
          <w:sz w:val="20"/>
          <w:szCs w:val="22"/>
          <w:lang w:val="en-US"/>
        </w:rPr>
        <w:t>ExacTrac</w:t>
      </w:r>
      <w:proofErr w:type="spellEnd"/>
      <w:r w:rsidRPr="003467DC">
        <w:rPr>
          <w:sz w:val="20"/>
          <w:szCs w:val="22"/>
          <w:lang w:val="en-US"/>
        </w:rPr>
        <w:t xml:space="preserve"> system (</w:t>
      </w:r>
      <w:proofErr w:type="spellStart"/>
      <w:r w:rsidRPr="003467DC">
        <w:rPr>
          <w:sz w:val="20"/>
          <w:szCs w:val="22"/>
          <w:lang w:val="en-US"/>
        </w:rPr>
        <w:t>BrainLab</w:t>
      </w:r>
      <w:proofErr w:type="spellEnd"/>
      <w:r w:rsidRPr="003467DC">
        <w:rPr>
          <w:sz w:val="20"/>
          <w:szCs w:val="22"/>
          <w:lang w:val="en-US"/>
        </w:rPr>
        <w:t>) in stereotactic radiotherapy for brain metastases.</w:t>
      </w:r>
    </w:p>
    <w:p w:rsidR="00307004" w:rsidRPr="003467DC" w:rsidRDefault="00307004" w:rsidP="00307004">
      <w:pPr>
        <w:spacing w:line="259" w:lineRule="auto"/>
        <w:rPr>
          <w:b/>
          <w:sz w:val="20"/>
          <w:szCs w:val="22"/>
          <w:lang w:val="en-US"/>
        </w:rPr>
      </w:pPr>
    </w:p>
    <w:p w:rsidR="00307004" w:rsidRPr="003467DC" w:rsidRDefault="00307004" w:rsidP="00307004">
      <w:pPr>
        <w:spacing w:line="259" w:lineRule="auto"/>
        <w:rPr>
          <w:b/>
          <w:sz w:val="20"/>
          <w:szCs w:val="22"/>
          <w:lang w:val="en-US"/>
        </w:rPr>
      </w:pPr>
      <w:r w:rsidRPr="003467DC">
        <w:rPr>
          <w:b/>
          <w:sz w:val="20"/>
          <w:szCs w:val="22"/>
          <w:lang w:val="en-US"/>
        </w:rPr>
        <w:t xml:space="preserve">Material and </w:t>
      </w:r>
      <w:proofErr w:type="gramStart"/>
      <w:r w:rsidRPr="003467DC">
        <w:rPr>
          <w:b/>
          <w:sz w:val="20"/>
          <w:szCs w:val="22"/>
          <w:lang w:val="en-US"/>
        </w:rPr>
        <w:t>method :</w:t>
      </w:r>
      <w:proofErr w:type="gramEnd"/>
    </w:p>
    <w:p w:rsidR="00307004" w:rsidRPr="003467DC" w:rsidRDefault="00307004" w:rsidP="00307004">
      <w:pPr>
        <w:spacing w:line="259" w:lineRule="auto"/>
        <w:jc w:val="both"/>
        <w:rPr>
          <w:sz w:val="20"/>
          <w:szCs w:val="22"/>
          <w:lang w:val="en-US"/>
        </w:rPr>
      </w:pPr>
      <w:r w:rsidRPr="003467DC">
        <w:rPr>
          <w:sz w:val="20"/>
          <w:szCs w:val="22"/>
          <w:lang w:val="en-US"/>
        </w:rPr>
        <w:t xml:space="preserve">This study was conducted on 5 patients for a prescribed dose of 27 </w:t>
      </w:r>
      <w:proofErr w:type="spellStart"/>
      <w:r w:rsidRPr="003467DC">
        <w:rPr>
          <w:sz w:val="20"/>
          <w:szCs w:val="22"/>
          <w:lang w:val="en-US"/>
        </w:rPr>
        <w:t>Gy</w:t>
      </w:r>
      <w:proofErr w:type="spellEnd"/>
      <w:r w:rsidRPr="003467DC">
        <w:rPr>
          <w:sz w:val="20"/>
          <w:szCs w:val="22"/>
          <w:lang w:val="en-US"/>
        </w:rPr>
        <w:t xml:space="preserve"> in 3 fractions with </w:t>
      </w:r>
      <w:proofErr w:type="gramStart"/>
      <w:r w:rsidRPr="003467DC">
        <w:rPr>
          <w:sz w:val="20"/>
          <w:szCs w:val="22"/>
          <w:lang w:val="en-US"/>
        </w:rPr>
        <w:t>a  margin</w:t>
      </w:r>
      <w:proofErr w:type="gramEnd"/>
      <w:r w:rsidR="003467DC">
        <w:rPr>
          <w:sz w:val="20"/>
          <w:szCs w:val="22"/>
          <w:lang w:val="en-US"/>
        </w:rPr>
        <w:t xml:space="preserve"> of</w:t>
      </w:r>
      <w:r w:rsidRPr="003467DC">
        <w:rPr>
          <w:sz w:val="20"/>
          <w:szCs w:val="22"/>
          <w:lang w:val="en-US"/>
        </w:rPr>
        <w:t xml:space="preserve"> </w:t>
      </w:r>
      <w:r w:rsidR="003467DC" w:rsidRPr="003467DC">
        <w:rPr>
          <w:sz w:val="20"/>
          <w:szCs w:val="22"/>
          <w:lang w:val="en-US"/>
        </w:rPr>
        <w:t>1</w:t>
      </w:r>
      <w:r w:rsidR="003467DC">
        <w:rPr>
          <w:sz w:val="20"/>
          <w:szCs w:val="22"/>
          <w:lang w:val="en-US"/>
        </w:rPr>
        <w:t xml:space="preserve"> </w:t>
      </w:r>
      <w:r w:rsidR="003467DC" w:rsidRPr="003467DC">
        <w:rPr>
          <w:sz w:val="20"/>
          <w:szCs w:val="22"/>
          <w:lang w:val="en-US"/>
        </w:rPr>
        <w:t>mm</w:t>
      </w:r>
      <w:r w:rsidR="003467DC" w:rsidRPr="003467DC">
        <w:rPr>
          <w:sz w:val="20"/>
          <w:szCs w:val="22"/>
          <w:lang w:val="en-US"/>
        </w:rPr>
        <w:t xml:space="preserve"> </w:t>
      </w:r>
      <w:r w:rsidRPr="003467DC">
        <w:rPr>
          <w:sz w:val="20"/>
          <w:szCs w:val="22"/>
          <w:lang w:val="en-US"/>
        </w:rPr>
        <w:t xml:space="preserve">between CTV and PTV for the </w:t>
      </w:r>
      <w:proofErr w:type="spellStart"/>
      <w:r w:rsidRPr="003467DC">
        <w:rPr>
          <w:sz w:val="20"/>
          <w:szCs w:val="22"/>
          <w:lang w:val="en-US"/>
        </w:rPr>
        <w:t>Cyberknife</w:t>
      </w:r>
      <w:proofErr w:type="spellEnd"/>
      <w:r w:rsidRPr="003467DC">
        <w:rPr>
          <w:sz w:val="20"/>
          <w:szCs w:val="22"/>
          <w:lang w:val="en-US"/>
        </w:rPr>
        <w:t xml:space="preserve"> and 2</w:t>
      </w:r>
      <w:r w:rsidR="003467DC">
        <w:rPr>
          <w:sz w:val="20"/>
          <w:szCs w:val="22"/>
          <w:lang w:val="en-US"/>
        </w:rPr>
        <w:t xml:space="preserve"> </w:t>
      </w:r>
      <w:r w:rsidRPr="003467DC">
        <w:rPr>
          <w:sz w:val="20"/>
          <w:szCs w:val="22"/>
          <w:lang w:val="en-US"/>
        </w:rPr>
        <w:t xml:space="preserve">mm for the </w:t>
      </w:r>
      <w:proofErr w:type="spellStart"/>
      <w:r w:rsidRPr="003467DC">
        <w:rPr>
          <w:sz w:val="20"/>
          <w:szCs w:val="22"/>
          <w:lang w:val="en-US"/>
        </w:rPr>
        <w:t>VersaHD</w:t>
      </w:r>
      <w:proofErr w:type="spellEnd"/>
      <w:r w:rsidRPr="003467DC">
        <w:rPr>
          <w:sz w:val="20"/>
          <w:szCs w:val="22"/>
          <w:lang w:val="en-US"/>
        </w:rPr>
        <w:t xml:space="preserve"> in accordance with our clinical practices. The </w:t>
      </w:r>
      <w:proofErr w:type="spellStart"/>
      <w:r w:rsidRPr="003467DC">
        <w:rPr>
          <w:sz w:val="20"/>
          <w:szCs w:val="22"/>
          <w:lang w:val="en-US"/>
        </w:rPr>
        <w:t>dosimetric</w:t>
      </w:r>
      <w:proofErr w:type="spellEnd"/>
      <w:r w:rsidRPr="003467DC">
        <w:rPr>
          <w:sz w:val="20"/>
          <w:szCs w:val="22"/>
          <w:lang w:val="en-US"/>
        </w:rPr>
        <w:t xml:space="preserve"> study was also conducted with a 2 mm margin for the </w:t>
      </w:r>
      <w:proofErr w:type="spellStart"/>
      <w:r w:rsidRPr="003467DC">
        <w:rPr>
          <w:sz w:val="20"/>
          <w:szCs w:val="22"/>
          <w:lang w:val="en-US"/>
        </w:rPr>
        <w:t>Cyberknife</w:t>
      </w:r>
      <w:proofErr w:type="spellEnd"/>
      <w:r w:rsidRPr="003467DC">
        <w:rPr>
          <w:sz w:val="20"/>
          <w:szCs w:val="22"/>
          <w:lang w:val="en-US"/>
        </w:rPr>
        <w:t xml:space="preserve"> to assess the </w:t>
      </w:r>
      <w:proofErr w:type="spellStart"/>
      <w:r w:rsidRPr="003467DC">
        <w:rPr>
          <w:sz w:val="20"/>
          <w:szCs w:val="22"/>
          <w:lang w:val="en-US"/>
        </w:rPr>
        <w:t>dosimetric</w:t>
      </w:r>
      <w:proofErr w:type="spellEnd"/>
      <w:r w:rsidRPr="003467DC">
        <w:rPr>
          <w:sz w:val="20"/>
          <w:szCs w:val="22"/>
          <w:lang w:val="en-US"/>
        </w:rPr>
        <w:t xml:space="preserve"> impact of the margins.</w:t>
      </w:r>
    </w:p>
    <w:p w:rsidR="00307004" w:rsidRPr="003467DC" w:rsidRDefault="00307004" w:rsidP="00307004">
      <w:pPr>
        <w:spacing w:line="259" w:lineRule="auto"/>
        <w:jc w:val="both"/>
        <w:rPr>
          <w:sz w:val="20"/>
          <w:szCs w:val="22"/>
          <w:lang w:val="en-US"/>
        </w:rPr>
      </w:pPr>
      <w:r w:rsidRPr="003467DC">
        <w:rPr>
          <w:sz w:val="20"/>
          <w:szCs w:val="22"/>
          <w:lang w:val="en-US"/>
        </w:rPr>
        <w:t>Plans have been computed fo</w:t>
      </w:r>
      <w:r w:rsidR="003467DC">
        <w:rPr>
          <w:sz w:val="20"/>
          <w:szCs w:val="22"/>
          <w:lang w:val="en-US"/>
        </w:rPr>
        <w:t xml:space="preserve">r the </w:t>
      </w:r>
      <w:proofErr w:type="spellStart"/>
      <w:r w:rsidR="003467DC">
        <w:rPr>
          <w:sz w:val="20"/>
          <w:szCs w:val="22"/>
          <w:lang w:val="en-US"/>
        </w:rPr>
        <w:t>CyberKnife</w:t>
      </w:r>
      <w:proofErr w:type="spellEnd"/>
      <w:r w:rsidR="003467DC">
        <w:rPr>
          <w:sz w:val="20"/>
          <w:szCs w:val="22"/>
          <w:lang w:val="en-US"/>
        </w:rPr>
        <w:t xml:space="preserve"> M6 v10.6 with</w:t>
      </w:r>
      <w:r w:rsidRPr="003467DC">
        <w:rPr>
          <w:sz w:val="20"/>
          <w:szCs w:val="22"/>
          <w:lang w:val="en-US"/>
        </w:rPr>
        <w:t xml:space="preserve"> non-</w:t>
      </w:r>
      <w:proofErr w:type="spellStart"/>
      <w:r w:rsidRPr="003467DC">
        <w:rPr>
          <w:sz w:val="20"/>
          <w:szCs w:val="22"/>
          <w:lang w:val="en-US"/>
        </w:rPr>
        <w:t>isocentric</w:t>
      </w:r>
      <w:proofErr w:type="spellEnd"/>
      <w:r w:rsidRPr="003467DC">
        <w:rPr>
          <w:sz w:val="20"/>
          <w:szCs w:val="22"/>
          <w:lang w:val="en-US"/>
        </w:rPr>
        <w:t xml:space="preserve"> multi-beam</w:t>
      </w:r>
      <w:r w:rsidR="003467DC">
        <w:rPr>
          <w:sz w:val="20"/>
          <w:szCs w:val="22"/>
          <w:lang w:val="en-US"/>
        </w:rPr>
        <w:t>s</w:t>
      </w:r>
      <w:r w:rsidRPr="003467DC">
        <w:rPr>
          <w:sz w:val="20"/>
          <w:szCs w:val="22"/>
          <w:lang w:val="en-US"/>
        </w:rPr>
        <w:t xml:space="preserve"> generated by inverse optimization on Multiplan v5.3 (</w:t>
      </w:r>
      <w:proofErr w:type="spellStart"/>
      <w:r w:rsidRPr="003467DC">
        <w:rPr>
          <w:sz w:val="20"/>
          <w:szCs w:val="22"/>
          <w:lang w:val="en-US"/>
        </w:rPr>
        <w:t>Accuray</w:t>
      </w:r>
      <w:proofErr w:type="spellEnd"/>
      <w:r w:rsidRPr="003467DC">
        <w:rPr>
          <w:sz w:val="20"/>
          <w:szCs w:val="22"/>
          <w:lang w:val="en-US"/>
        </w:rPr>
        <w:t xml:space="preserve">). For the </w:t>
      </w:r>
      <w:proofErr w:type="spellStart"/>
      <w:r w:rsidRPr="003467DC">
        <w:rPr>
          <w:sz w:val="20"/>
          <w:szCs w:val="22"/>
          <w:lang w:val="en-US"/>
        </w:rPr>
        <w:t>VersaHD</w:t>
      </w:r>
      <w:proofErr w:type="spellEnd"/>
      <w:r w:rsidRPr="003467DC">
        <w:rPr>
          <w:sz w:val="20"/>
          <w:szCs w:val="22"/>
          <w:lang w:val="en-US"/>
        </w:rPr>
        <w:t xml:space="preserve"> equipped with </w:t>
      </w:r>
      <w:proofErr w:type="spellStart"/>
      <w:r w:rsidRPr="003467DC">
        <w:rPr>
          <w:sz w:val="20"/>
          <w:szCs w:val="22"/>
          <w:lang w:val="en-US"/>
        </w:rPr>
        <w:t>ExacTrac</w:t>
      </w:r>
      <w:proofErr w:type="spellEnd"/>
      <w:r w:rsidRPr="003467DC">
        <w:rPr>
          <w:sz w:val="20"/>
          <w:szCs w:val="22"/>
          <w:lang w:val="en-US"/>
        </w:rPr>
        <w:t xml:space="preserve"> v6.1 and used with the </w:t>
      </w:r>
      <w:r w:rsidR="00196DAA" w:rsidRPr="003467DC">
        <w:rPr>
          <w:sz w:val="20"/>
          <w:szCs w:val="22"/>
          <w:lang w:val="en-US"/>
        </w:rPr>
        <w:t xml:space="preserve">Frameless </w:t>
      </w:r>
      <w:r w:rsidR="003467DC">
        <w:rPr>
          <w:sz w:val="20"/>
          <w:szCs w:val="22"/>
          <w:lang w:val="en-US"/>
        </w:rPr>
        <w:t>system (</w:t>
      </w:r>
      <w:proofErr w:type="spellStart"/>
      <w:r w:rsidR="003467DC">
        <w:rPr>
          <w:sz w:val="20"/>
          <w:szCs w:val="22"/>
          <w:lang w:val="en-US"/>
        </w:rPr>
        <w:t>BrainLab</w:t>
      </w:r>
      <w:proofErr w:type="spellEnd"/>
      <w:r w:rsidR="003467DC">
        <w:rPr>
          <w:sz w:val="20"/>
          <w:szCs w:val="22"/>
          <w:lang w:val="en-US"/>
        </w:rPr>
        <w:t>),</w:t>
      </w:r>
      <w:r w:rsidRPr="003467DC">
        <w:rPr>
          <w:sz w:val="20"/>
          <w:szCs w:val="22"/>
          <w:lang w:val="en-US"/>
        </w:rPr>
        <w:t xml:space="preserve"> 4 non-coplanar arcs</w:t>
      </w:r>
      <w:r w:rsidR="003467DC">
        <w:rPr>
          <w:sz w:val="20"/>
          <w:szCs w:val="22"/>
          <w:lang w:val="en-US"/>
        </w:rPr>
        <w:t xml:space="preserve"> </w:t>
      </w:r>
      <w:r w:rsidR="004D7E4E">
        <w:rPr>
          <w:sz w:val="20"/>
          <w:szCs w:val="22"/>
          <w:lang w:val="en-US"/>
        </w:rPr>
        <w:t>(VMAT)</w:t>
      </w:r>
      <w:r w:rsidRPr="003467DC">
        <w:rPr>
          <w:sz w:val="20"/>
          <w:szCs w:val="22"/>
          <w:lang w:val="en-US"/>
        </w:rPr>
        <w:t xml:space="preserve"> has been generated by inverse optimization on Pinnacle v9.10 (Philips).</w:t>
      </w:r>
    </w:p>
    <w:p w:rsidR="00307004" w:rsidRPr="003467DC" w:rsidRDefault="00307004" w:rsidP="00307004">
      <w:pPr>
        <w:spacing w:line="259" w:lineRule="auto"/>
        <w:jc w:val="both"/>
        <w:rPr>
          <w:sz w:val="20"/>
          <w:szCs w:val="22"/>
          <w:lang w:val="en-US"/>
        </w:rPr>
      </w:pPr>
      <w:r w:rsidRPr="003467DC">
        <w:rPr>
          <w:sz w:val="20"/>
          <w:szCs w:val="22"/>
          <w:lang w:val="en-US"/>
        </w:rPr>
        <w:t xml:space="preserve">The </w:t>
      </w:r>
      <w:proofErr w:type="spellStart"/>
      <w:r w:rsidRPr="003467DC">
        <w:rPr>
          <w:sz w:val="20"/>
          <w:szCs w:val="22"/>
          <w:lang w:val="en-US"/>
        </w:rPr>
        <w:t>dosimetric</w:t>
      </w:r>
      <w:proofErr w:type="spellEnd"/>
      <w:r w:rsidRPr="003467DC">
        <w:rPr>
          <w:sz w:val="20"/>
          <w:szCs w:val="22"/>
          <w:lang w:val="en-US"/>
        </w:rPr>
        <w:t xml:space="preserve"> evaluation focused on the coverage of PTV and volume of brain outside PTV receiving 23.1 </w:t>
      </w:r>
      <w:proofErr w:type="spellStart"/>
      <w:r w:rsidRPr="003467DC">
        <w:rPr>
          <w:sz w:val="20"/>
          <w:szCs w:val="22"/>
          <w:lang w:val="en-US"/>
        </w:rPr>
        <w:t>Gy</w:t>
      </w:r>
      <w:proofErr w:type="spellEnd"/>
      <w:r w:rsidRPr="003467DC">
        <w:rPr>
          <w:sz w:val="20"/>
          <w:szCs w:val="22"/>
          <w:lang w:val="en-US"/>
        </w:rPr>
        <w:t xml:space="preserve"> corresponding to the main </w:t>
      </w:r>
      <w:r w:rsidR="004D7E4E" w:rsidRPr="003467DC">
        <w:rPr>
          <w:sz w:val="20"/>
          <w:szCs w:val="22"/>
          <w:lang w:val="en-US"/>
        </w:rPr>
        <w:t>criteria</w:t>
      </w:r>
      <w:r w:rsidRPr="003467DC">
        <w:rPr>
          <w:sz w:val="20"/>
          <w:szCs w:val="22"/>
          <w:lang w:val="en-US"/>
        </w:rPr>
        <w:t xml:space="preserve"> of medical approval. The volume</w:t>
      </w:r>
      <w:r w:rsidR="00196DAA" w:rsidRPr="003467DC">
        <w:rPr>
          <w:sz w:val="20"/>
          <w:szCs w:val="22"/>
          <w:lang w:val="en-US"/>
        </w:rPr>
        <w:t xml:space="preserve"> of</w:t>
      </w:r>
      <w:r w:rsidRPr="003467DC">
        <w:rPr>
          <w:sz w:val="20"/>
          <w:szCs w:val="22"/>
          <w:lang w:val="en-US"/>
        </w:rPr>
        <w:t xml:space="preserve"> </w:t>
      </w:r>
      <w:proofErr w:type="spellStart"/>
      <w:r w:rsidRPr="003467DC">
        <w:rPr>
          <w:sz w:val="20"/>
          <w:szCs w:val="22"/>
          <w:lang w:val="en-US"/>
        </w:rPr>
        <w:t>isodose</w:t>
      </w:r>
      <w:r w:rsidR="00196DAA" w:rsidRPr="003467DC">
        <w:rPr>
          <w:sz w:val="20"/>
          <w:szCs w:val="22"/>
          <w:lang w:val="en-US"/>
        </w:rPr>
        <w:t>s</w:t>
      </w:r>
      <w:proofErr w:type="spellEnd"/>
      <w:r w:rsidRPr="003467DC">
        <w:rPr>
          <w:sz w:val="20"/>
          <w:szCs w:val="22"/>
          <w:lang w:val="en-US"/>
        </w:rPr>
        <w:t xml:space="preserve"> 6 </w:t>
      </w:r>
      <w:proofErr w:type="spellStart"/>
      <w:r w:rsidRPr="003467DC">
        <w:rPr>
          <w:sz w:val="20"/>
          <w:szCs w:val="22"/>
          <w:lang w:val="en-US"/>
        </w:rPr>
        <w:t>Gy</w:t>
      </w:r>
      <w:proofErr w:type="spellEnd"/>
      <w:r w:rsidRPr="003467DC">
        <w:rPr>
          <w:sz w:val="20"/>
          <w:szCs w:val="22"/>
          <w:lang w:val="en-US"/>
        </w:rPr>
        <w:t xml:space="preserve">, 2.7 </w:t>
      </w:r>
      <w:proofErr w:type="spellStart"/>
      <w:r w:rsidRPr="003467DC">
        <w:rPr>
          <w:sz w:val="20"/>
          <w:szCs w:val="22"/>
          <w:lang w:val="en-US"/>
        </w:rPr>
        <w:t>Gy</w:t>
      </w:r>
      <w:proofErr w:type="spellEnd"/>
      <w:r w:rsidRPr="003467DC">
        <w:rPr>
          <w:sz w:val="20"/>
          <w:szCs w:val="22"/>
          <w:lang w:val="en-US"/>
        </w:rPr>
        <w:t xml:space="preserve"> and 1 </w:t>
      </w:r>
      <w:proofErr w:type="spellStart"/>
      <w:r w:rsidRPr="003467DC">
        <w:rPr>
          <w:sz w:val="20"/>
          <w:szCs w:val="22"/>
          <w:lang w:val="en-US"/>
        </w:rPr>
        <w:t>Gy</w:t>
      </w:r>
      <w:proofErr w:type="spellEnd"/>
      <w:r w:rsidRPr="003467DC">
        <w:rPr>
          <w:sz w:val="20"/>
          <w:szCs w:val="22"/>
          <w:lang w:val="en-US"/>
        </w:rPr>
        <w:t xml:space="preserve"> and the ratio of the volume</w:t>
      </w:r>
      <w:r w:rsidR="00196DAA" w:rsidRPr="003467DC">
        <w:rPr>
          <w:sz w:val="20"/>
          <w:szCs w:val="22"/>
          <w:lang w:val="en-US"/>
        </w:rPr>
        <w:t xml:space="preserve"> of</w:t>
      </w:r>
      <w:r w:rsidRPr="003467DC">
        <w:rPr>
          <w:sz w:val="20"/>
          <w:szCs w:val="22"/>
          <w:lang w:val="en-US"/>
        </w:rPr>
        <w:t xml:space="preserve"> </w:t>
      </w:r>
      <w:proofErr w:type="spellStart"/>
      <w:r w:rsidRPr="003467DC">
        <w:rPr>
          <w:sz w:val="20"/>
          <w:szCs w:val="22"/>
          <w:lang w:val="en-US"/>
        </w:rPr>
        <w:t>isodose</w:t>
      </w:r>
      <w:proofErr w:type="spellEnd"/>
      <w:r w:rsidRPr="003467DC">
        <w:rPr>
          <w:sz w:val="20"/>
          <w:szCs w:val="22"/>
          <w:lang w:val="en-US"/>
        </w:rPr>
        <w:t xml:space="preserve"> 13.5 </w:t>
      </w:r>
      <w:proofErr w:type="spellStart"/>
      <w:r w:rsidRPr="003467DC">
        <w:rPr>
          <w:sz w:val="20"/>
          <w:szCs w:val="22"/>
          <w:lang w:val="en-US"/>
        </w:rPr>
        <w:t>Gy</w:t>
      </w:r>
      <w:proofErr w:type="spellEnd"/>
      <w:r w:rsidRPr="003467DC">
        <w:rPr>
          <w:sz w:val="20"/>
          <w:szCs w:val="22"/>
          <w:lang w:val="en-US"/>
        </w:rPr>
        <w:t xml:space="preserve"> and 27 </w:t>
      </w:r>
      <w:proofErr w:type="spellStart"/>
      <w:r w:rsidRPr="003467DC">
        <w:rPr>
          <w:sz w:val="20"/>
          <w:szCs w:val="22"/>
          <w:lang w:val="en-US"/>
        </w:rPr>
        <w:t>Gy</w:t>
      </w:r>
      <w:proofErr w:type="spellEnd"/>
      <w:r w:rsidRPr="003467DC">
        <w:rPr>
          <w:sz w:val="20"/>
          <w:szCs w:val="22"/>
          <w:lang w:val="en-US"/>
        </w:rPr>
        <w:t xml:space="preserve"> </w:t>
      </w:r>
      <w:r w:rsidR="004D7E4E">
        <w:rPr>
          <w:sz w:val="20"/>
          <w:szCs w:val="22"/>
          <w:lang w:val="en-US"/>
        </w:rPr>
        <w:t>have been reported</w:t>
      </w:r>
      <w:r w:rsidRPr="003467DC">
        <w:rPr>
          <w:sz w:val="20"/>
          <w:szCs w:val="22"/>
          <w:lang w:val="en-US"/>
        </w:rPr>
        <w:t xml:space="preserve"> to characterize the spread of low doses and </w:t>
      </w:r>
      <w:r w:rsidR="00196DAA" w:rsidRPr="003467DC">
        <w:rPr>
          <w:sz w:val="20"/>
          <w:szCs w:val="22"/>
          <w:lang w:val="en-US"/>
        </w:rPr>
        <w:t xml:space="preserve">the </w:t>
      </w:r>
      <w:r w:rsidRPr="003467DC">
        <w:rPr>
          <w:sz w:val="20"/>
          <w:szCs w:val="22"/>
          <w:lang w:val="en-US"/>
        </w:rPr>
        <w:t xml:space="preserve">dose gradient </w:t>
      </w:r>
      <w:r w:rsidR="004D7E4E">
        <w:rPr>
          <w:sz w:val="20"/>
          <w:szCs w:val="22"/>
          <w:lang w:val="en-US"/>
        </w:rPr>
        <w:t>around the</w:t>
      </w:r>
      <w:r w:rsidRPr="003467DC">
        <w:rPr>
          <w:sz w:val="20"/>
          <w:szCs w:val="22"/>
          <w:lang w:val="en-US"/>
        </w:rPr>
        <w:t xml:space="preserve"> PTV.</w:t>
      </w:r>
    </w:p>
    <w:p w:rsidR="00307004" w:rsidRDefault="00307004" w:rsidP="00307004">
      <w:pPr>
        <w:spacing w:line="259" w:lineRule="auto"/>
        <w:jc w:val="both"/>
        <w:rPr>
          <w:sz w:val="20"/>
          <w:szCs w:val="22"/>
          <w:lang w:val="en-US"/>
        </w:rPr>
      </w:pPr>
      <w:r w:rsidRPr="003467DC">
        <w:rPr>
          <w:sz w:val="20"/>
          <w:szCs w:val="22"/>
          <w:lang w:val="en-US"/>
        </w:rPr>
        <w:t xml:space="preserve">Quality controls </w:t>
      </w:r>
      <w:r w:rsidR="004D7E4E">
        <w:rPr>
          <w:sz w:val="20"/>
          <w:szCs w:val="22"/>
          <w:lang w:val="en-US"/>
        </w:rPr>
        <w:t>have been performed with</w:t>
      </w:r>
      <w:r w:rsidRPr="003467DC">
        <w:rPr>
          <w:sz w:val="20"/>
          <w:szCs w:val="22"/>
          <w:lang w:val="en-US"/>
        </w:rPr>
        <w:t xml:space="preserve"> </w:t>
      </w:r>
      <w:proofErr w:type="spellStart"/>
      <w:r w:rsidRPr="003467DC">
        <w:rPr>
          <w:sz w:val="20"/>
          <w:szCs w:val="22"/>
          <w:lang w:val="en-US"/>
        </w:rPr>
        <w:t>radiochromic</w:t>
      </w:r>
      <w:proofErr w:type="spellEnd"/>
      <w:r w:rsidRPr="003467DC">
        <w:rPr>
          <w:sz w:val="20"/>
          <w:szCs w:val="22"/>
          <w:lang w:val="en-US"/>
        </w:rPr>
        <w:t xml:space="preserve"> </w:t>
      </w:r>
      <w:r w:rsidR="00196DAA" w:rsidRPr="003467DC">
        <w:rPr>
          <w:sz w:val="20"/>
          <w:szCs w:val="22"/>
          <w:lang w:val="en-US"/>
        </w:rPr>
        <w:t xml:space="preserve">films </w:t>
      </w:r>
      <w:r w:rsidR="004D7E4E">
        <w:rPr>
          <w:sz w:val="20"/>
          <w:szCs w:val="22"/>
          <w:lang w:val="en-US"/>
        </w:rPr>
        <w:t>(EBT3/</w:t>
      </w:r>
      <w:r w:rsidRPr="003467DC">
        <w:rPr>
          <w:sz w:val="20"/>
          <w:szCs w:val="22"/>
          <w:lang w:val="en-US"/>
        </w:rPr>
        <w:t xml:space="preserve">Ashland) and </w:t>
      </w:r>
      <w:r w:rsidR="004D7E4E">
        <w:rPr>
          <w:sz w:val="20"/>
          <w:szCs w:val="22"/>
          <w:lang w:val="en-US"/>
        </w:rPr>
        <w:t xml:space="preserve">with an </w:t>
      </w:r>
      <w:r w:rsidRPr="003467DC">
        <w:rPr>
          <w:sz w:val="20"/>
          <w:szCs w:val="22"/>
          <w:lang w:val="en-US"/>
        </w:rPr>
        <w:t xml:space="preserve">ionization chamber </w:t>
      </w:r>
      <w:r w:rsidR="004D7E4E">
        <w:rPr>
          <w:sz w:val="20"/>
          <w:szCs w:val="22"/>
          <w:lang w:val="en-US"/>
        </w:rPr>
        <w:t>(Pinpoint 31014 /</w:t>
      </w:r>
      <w:r w:rsidRPr="003467DC">
        <w:rPr>
          <w:sz w:val="20"/>
          <w:szCs w:val="22"/>
          <w:lang w:val="en-US"/>
        </w:rPr>
        <w:t xml:space="preserve">PTW) in </w:t>
      </w:r>
      <w:r w:rsidR="004D7E4E">
        <w:rPr>
          <w:sz w:val="20"/>
          <w:szCs w:val="22"/>
          <w:lang w:val="en-US"/>
        </w:rPr>
        <w:t>an</w:t>
      </w:r>
      <w:r w:rsidRPr="003467DC">
        <w:rPr>
          <w:sz w:val="20"/>
          <w:szCs w:val="22"/>
          <w:lang w:val="en-US"/>
        </w:rPr>
        <w:t xml:space="preserve"> anthropomorphic phantom </w:t>
      </w:r>
      <w:r w:rsidR="004D7E4E">
        <w:rPr>
          <w:sz w:val="20"/>
          <w:szCs w:val="22"/>
          <w:lang w:val="en-US"/>
        </w:rPr>
        <w:t>(</w:t>
      </w:r>
      <w:r w:rsidR="00196DAA" w:rsidRPr="003467DC">
        <w:rPr>
          <w:sz w:val="20"/>
          <w:szCs w:val="22"/>
          <w:lang w:val="en-US"/>
        </w:rPr>
        <w:t>STEEV</w:t>
      </w:r>
      <w:r w:rsidR="004D7E4E">
        <w:rPr>
          <w:sz w:val="20"/>
          <w:szCs w:val="22"/>
          <w:lang w:val="en-US"/>
        </w:rPr>
        <w:t>/</w:t>
      </w:r>
      <w:r w:rsidRPr="003467DC">
        <w:rPr>
          <w:sz w:val="20"/>
          <w:szCs w:val="22"/>
          <w:lang w:val="en-US"/>
        </w:rPr>
        <w:t xml:space="preserve">CIRS). The dose </w:t>
      </w:r>
      <w:r w:rsidR="004D7E4E" w:rsidRPr="003467DC">
        <w:rPr>
          <w:sz w:val="20"/>
          <w:szCs w:val="22"/>
          <w:lang w:val="en-US"/>
        </w:rPr>
        <w:t>measured</w:t>
      </w:r>
      <w:r w:rsidR="004D7E4E" w:rsidRPr="003467DC">
        <w:rPr>
          <w:sz w:val="20"/>
          <w:szCs w:val="22"/>
          <w:lang w:val="en-US"/>
        </w:rPr>
        <w:t xml:space="preserve"> </w:t>
      </w:r>
      <w:r w:rsidR="00196DAA" w:rsidRPr="003467DC">
        <w:rPr>
          <w:sz w:val="20"/>
          <w:szCs w:val="22"/>
          <w:lang w:val="en-US"/>
        </w:rPr>
        <w:t>by</w:t>
      </w:r>
      <w:r w:rsidR="004D7E4E">
        <w:rPr>
          <w:sz w:val="20"/>
          <w:szCs w:val="22"/>
          <w:lang w:val="en-US"/>
        </w:rPr>
        <w:t xml:space="preserve"> film has been</w:t>
      </w:r>
      <w:r w:rsidRPr="003467DC">
        <w:rPr>
          <w:sz w:val="20"/>
          <w:szCs w:val="22"/>
          <w:lang w:val="en-US"/>
        </w:rPr>
        <w:t xml:space="preserve"> compared to the </w:t>
      </w:r>
      <w:r w:rsidR="00196DAA" w:rsidRPr="003467DC">
        <w:rPr>
          <w:sz w:val="20"/>
          <w:szCs w:val="22"/>
          <w:lang w:val="en-US"/>
        </w:rPr>
        <w:t xml:space="preserve">calculated </w:t>
      </w:r>
      <w:r w:rsidRPr="003467DC">
        <w:rPr>
          <w:sz w:val="20"/>
          <w:szCs w:val="22"/>
          <w:lang w:val="en-US"/>
        </w:rPr>
        <w:t>dose according to</w:t>
      </w:r>
      <w:r w:rsidR="00196DAA" w:rsidRPr="003467DC">
        <w:rPr>
          <w:sz w:val="20"/>
          <w:szCs w:val="22"/>
          <w:lang w:val="en-US"/>
        </w:rPr>
        <w:t xml:space="preserve"> the method of the gamma index</w:t>
      </w:r>
      <w:r w:rsidRPr="003467DC">
        <w:rPr>
          <w:sz w:val="20"/>
          <w:szCs w:val="22"/>
          <w:lang w:val="en-US"/>
        </w:rPr>
        <w:t xml:space="preserve"> with 3% (local) / 2 mm </w:t>
      </w:r>
      <w:r w:rsidR="00196DAA" w:rsidRPr="003467DC">
        <w:rPr>
          <w:sz w:val="20"/>
          <w:szCs w:val="22"/>
          <w:lang w:val="en-US"/>
        </w:rPr>
        <w:t xml:space="preserve">criteria </w:t>
      </w:r>
      <w:r w:rsidRPr="003467DC">
        <w:rPr>
          <w:sz w:val="20"/>
          <w:szCs w:val="22"/>
          <w:lang w:val="en-US"/>
        </w:rPr>
        <w:t xml:space="preserve">(analytical threshold </w:t>
      </w:r>
      <w:r w:rsidR="004D7E4E">
        <w:rPr>
          <w:sz w:val="20"/>
          <w:szCs w:val="22"/>
          <w:lang w:val="en-US"/>
        </w:rPr>
        <w:t>:</w:t>
      </w:r>
      <w:r w:rsidRPr="003467DC">
        <w:rPr>
          <w:sz w:val="20"/>
          <w:szCs w:val="22"/>
          <w:lang w:val="en-US"/>
        </w:rPr>
        <w:t xml:space="preserve"> 30% of the maximum dose). The geometric difference between the measured and calculated dose distribution </w:t>
      </w:r>
      <w:r w:rsidR="004D7E4E">
        <w:rPr>
          <w:sz w:val="20"/>
          <w:szCs w:val="22"/>
          <w:lang w:val="en-US"/>
        </w:rPr>
        <w:t xml:space="preserve">has been also reported. </w:t>
      </w:r>
    </w:p>
    <w:p w:rsidR="004D7E4E" w:rsidRPr="003467DC" w:rsidRDefault="004D7E4E" w:rsidP="00307004">
      <w:pPr>
        <w:spacing w:line="259" w:lineRule="auto"/>
        <w:jc w:val="both"/>
        <w:rPr>
          <w:sz w:val="20"/>
          <w:szCs w:val="22"/>
          <w:lang w:val="en-US"/>
        </w:rPr>
      </w:pPr>
    </w:p>
    <w:p w:rsidR="00307004" w:rsidRPr="003467DC" w:rsidRDefault="00307004" w:rsidP="00307004">
      <w:pPr>
        <w:spacing w:line="259" w:lineRule="auto"/>
        <w:rPr>
          <w:b/>
          <w:sz w:val="20"/>
          <w:szCs w:val="22"/>
          <w:lang w:val="en-US"/>
        </w:rPr>
      </w:pPr>
      <w:proofErr w:type="gramStart"/>
      <w:r w:rsidRPr="003467DC">
        <w:rPr>
          <w:b/>
          <w:sz w:val="20"/>
          <w:szCs w:val="22"/>
          <w:lang w:val="en-US"/>
        </w:rPr>
        <w:t>Results :</w:t>
      </w:r>
      <w:proofErr w:type="gramEnd"/>
    </w:p>
    <w:p w:rsidR="00307004" w:rsidRPr="003467DC" w:rsidRDefault="00307004" w:rsidP="00307004">
      <w:pPr>
        <w:spacing w:line="259" w:lineRule="auto"/>
        <w:jc w:val="both"/>
        <w:rPr>
          <w:sz w:val="20"/>
          <w:szCs w:val="22"/>
          <w:lang w:val="en-US"/>
        </w:rPr>
      </w:pPr>
      <w:r w:rsidRPr="003467DC">
        <w:rPr>
          <w:sz w:val="20"/>
          <w:szCs w:val="22"/>
          <w:lang w:val="en-US"/>
        </w:rPr>
        <w:t xml:space="preserve">Table 1 shows that validation </w:t>
      </w:r>
      <w:r w:rsidR="004D7E4E" w:rsidRPr="003467DC">
        <w:rPr>
          <w:sz w:val="20"/>
          <w:szCs w:val="22"/>
          <w:lang w:val="en-US"/>
        </w:rPr>
        <w:t>criteria</w:t>
      </w:r>
      <w:r w:rsidRPr="003467DC">
        <w:rPr>
          <w:sz w:val="20"/>
          <w:szCs w:val="22"/>
          <w:lang w:val="en-US"/>
        </w:rPr>
        <w:t xml:space="preserve"> </w:t>
      </w:r>
      <w:r w:rsidR="004D7E4E">
        <w:rPr>
          <w:sz w:val="20"/>
          <w:szCs w:val="22"/>
          <w:lang w:val="en-US"/>
        </w:rPr>
        <w:t>were reached</w:t>
      </w:r>
      <w:r w:rsidRPr="003467DC">
        <w:rPr>
          <w:sz w:val="20"/>
          <w:szCs w:val="22"/>
          <w:lang w:val="en-US"/>
        </w:rPr>
        <w:t xml:space="preserve"> for both modalities. </w:t>
      </w:r>
      <w:r w:rsidR="00196DAA" w:rsidRPr="003467DC">
        <w:rPr>
          <w:sz w:val="20"/>
          <w:szCs w:val="22"/>
          <w:lang w:val="en-US"/>
        </w:rPr>
        <w:t>For an</w:t>
      </w:r>
      <w:r w:rsidRPr="003467DC">
        <w:rPr>
          <w:sz w:val="20"/>
          <w:szCs w:val="22"/>
          <w:lang w:val="en-US"/>
        </w:rPr>
        <w:t xml:space="preserve"> equivalent PTV</w:t>
      </w:r>
      <w:r w:rsidR="00196DAA" w:rsidRPr="003467DC">
        <w:rPr>
          <w:sz w:val="20"/>
          <w:szCs w:val="22"/>
          <w:lang w:val="en-US"/>
        </w:rPr>
        <w:t xml:space="preserve"> coverage</w:t>
      </w:r>
      <w:r w:rsidRPr="003467DC">
        <w:rPr>
          <w:sz w:val="20"/>
          <w:szCs w:val="22"/>
          <w:lang w:val="en-US"/>
        </w:rPr>
        <w:t xml:space="preserve">, dose gradients obtained </w:t>
      </w:r>
      <w:r w:rsidR="00196DAA" w:rsidRPr="003467DC">
        <w:rPr>
          <w:sz w:val="20"/>
          <w:szCs w:val="22"/>
          <w:lang w:val="en-US"/>
        </w:rPr>
        <w:t xml:space="preserve">with the </w:t>
      </w:r>
      <w:proofErr w:type="spellStart"/>
      <w:r w:rsidRPr="003467DC">
        <w:rPr>
          <w:sz w:val="20"/>
          <w:szCs w:val="22"/>
          <w:lang w:val="en-US"/>
        </w:rPr>
        <w:t>Cyberknife</w:t>
      </w:r>
      <w:proofErr w:type="spellEnd"/>
      <w:r w:rsidRPr="003467DC">
        <w:rPr>
          <w:sz w:val="20"/>
          <w:szCs w:val="22"/>
          <w:lang w:val="en-US"/>
        </w:rPr>
        <w:t xml:space="preserve"> were greater than those obtained </w:t>
      </w:r>
      <w:r w:rsidR="00196DAA" w:rsidRPr="003467DC">
        <w:rPr>
          <w:sz w:val="20"/>
          <w:szCs w:val="22"/>
          <w:lang w:val="en-US"/>
        </w:rPr>
        <w:t xml:space="preserve">with the </w:t>
      </w:r>
      <w:proofErr w:type="spellStart"/>
      <w:r w:rsidRPr="003467DC">
        <w:rPr>
          <w:sz w:val="20"/>
          <w:szCs w:val="22"/>
          <w:lang w:val="en-US"/>
        </w:rPr>
        <w:t>VersaHD</w:t>
      </w:r>
      <w:proofErr w:type="spellEnd"/>
      <w:r w:rsidRPr="003467DC">
        <w:rPr>
          <w:sz w:val="20"/>
          <w:szCs w:val="22"/>
          <w:lang w:val="en-US"/>
        </w:rPr>
        <w:t xml:space="preserve"> and lower volumes of healthy tissue receiv</w:t>
      </w:r>
      <w:r w:rsidR="00196DAA" w:rsidRPr="003467DC">
        <w:rPr>
          <w:sz w:val="20"/>
          <w:szCs w:val="22"/>
          <w:lang w:val="en-US"/>
        </w:rPr>
        <w:t>ed</w:t>
      </w:r>
      <w:r w:rsidRPr="003467DC">
        <w:rPr>
          <w:sz w:val="20"/>
          <w:szCs w:val="22"/>
          <w:lang w:val="en-US"/>
        </w:rPr>
        <w:t xml:space="preserve"> doses lower than 6 </w:t>
      </w:r>
      <w:proofErr w:type="spellStart"/>
      <w:r w:rsidRPr="003467DC">
        <w:rPr>
          <w:sz w:val="20"/>
          <w:szCs w:val="22"/>
          <w:lang w:val="en-US"/>
        </w:rPr>
        <w:t>Gy</w:t>
      </w:r>
      <w:proofErr w:type="spellEnd"/>
      <w:r w:rsidRPr="003467DC">
        <w:rPr>
          <w:sz w:val="20"/>
          <w:szCs w:val="22"/>
          <w:lang w:val="en-US"/>
        </w:rPr>
        <w:t>.</w:t>
      </w:r>
    </w:p>
    <w:p w:rsidR="00307004" w:rsidRPr="003467DC" w:rsidRDefault="00307004" w:rsidP="00307004">
      <w:pPr>
        <w:spacing w:line="259" w:lineRule="auto"/>
        <w:jc w:val="both"/>
        <w:rPr>
          <w:sz w:val="20"/>
          <w:szCs w:val="22"/>
          <w:lang w:val="en-US"/>
        </w:rPr>
      </w:pPr>
      <w:r w:rsidRPr="003467DC">
        <w:rPr>
          <w:sz w:val="20"/>
          <w:szCs w:val="22"/>
          <w:lang w:val="en-US"/>
        </w:rPr>
        <w:t xml:space="preserve">The </w:t>
      </w:r>
      <w:r w:rsidR="00196DAA" w:rsidRPr="003467DC">
        <w:rPr>
          <w:sz w:val="20"/>
          <w:szCs w:val="22"/>
          <w:lang w:val="en-US"/>
        </w:rPr>
        <w:t xml:space="preserve">mean </w:t>
      </w:r>
      <w:r w:rsidRPr="003467DC">
        <w:rPr>
          <w:sz w:val="20"/>
          <w:szCs w:val="22"/>
          <w:lang w:val="en-US"/>
        </w:rPr>
        <w:t xml:space="preserve">differences between the dose </w:t>
      </w:r>
      <w:r w:rsidR="00196DAA" w:rsidRPr="003467DC">
        <w:rPr>
          <w:sz w:val="20"/>
          <w:szCs w:val="22"/>
          <w:lang w:val="en-US"/>
        </w:rPr>
        <w:t xml:space="preserve">measured </w:t>
      </w:r>
      <w:r w:rsidRPr="003467DC">
        <w:rPr>
          <w:sz w:val="20"/>
          <w:szCs w:val="22"/>
          <w:lang w:val="en-US"/>
        </w:rPr>
        <w:t>by ionization chamber and the calculated dose were 2.3% and -0.5%</w:t>
      </w:r>
      <w:r w:rsidR="004D7E4E">
        <w:rPr>
          <w:sz w:val="20"/>
          <w:szCs w:val="22"/>
          <w:lang w:val="en-US"/>
        </w:rPr>
        <w:t xml:space="preserve"> with </w:t>
      </w:r>
      <w:proofErr w:type="spellStart"/>
      <w:r w:rsidR="004D7E4E">
        <w:rPr>
          <w:sz w:val="20"/>
          <w:szCs w:val="22"/>
          <w:lang w:val="en-US"/>
        </w:rPr>
        <w:t>Cyberknife</w:t>
      </w:r>
      <w:proofErr w:type="spellEnd"/>
      <w:r w:rsidR="004D7E4E">
        <w:rPr>
          <w:sz w:val="20"/>
          <w:szCs w:val="22"/>
          <w:lang w:val="en-US"/>
        </w:rPr>
        <w:t xml:space="preserve"> and</w:t>
      </w:r>
      <w:r w:rsidRPr="003467DC">
        <w:rPr>
          <w:sz w:val="20"/>
          <w:szCs w:val="22"/>
          <w:lang w:val="en-US"/>
        </w:rPr>
        <w:t xml:space="preserve"> </w:t>
      </w:r>
      <w:proofErr w:type="spellStart"/>
      <w:r w:rsidRPr="003467DC">
        <w:rPr>
          <w:sz w:val="20"/>
          <w:szCs w:val="22"/>
          <w:lang w:val="en-US"/>
        </w:rPr>
        <w:t>VersaHD</w:t>
      </w:r>
      <w:proofErr w:type="spellEnd"/>
      <w:r w:rsidR="004D7E4E">
        <w:rPr>
          <w:sz w:val="20"/>
          <w:szCs w:val="22"/>
          <w:lang w:val="en-US"/>
        </w:rPr>
        <w:t xml:space="preserve"> respectively</w:t>
      </w:r>
      <w:r w:rsidRPr="003467DC">
        <w:rPr>
          <w:sz w:val="20"/>
          <w:szCs w:val="22"/>
          <w:lang w:val="en-US"/>
        </w:rPr>
        <w:t xml:space="preserve">. The </w:t>
      </w:r>
      <w:r w:rsidR="00196DAA" w:rsidRPr="003467DC">
        <w:rPr>
          <w:sz w:val="20"/>
          <w:szCs w:val="22"/>
          <w:lang w:val="en-US"/>
        </w:rPr>
        <w:t>mean</w:t>
      </w:r>
      <w:r w:rsidR="004D7E4E">
        <w:rPr>
          <w:sz w:val="20"/>
          <w:szCs w:val="22"/>
          <w:lang w:val="en-US"/>
        </w:rPr>
        <w:t xml:space="preserve"> value of the gamma index was</w:t>
      </w:r>
      <w:r w:rsidRPr="003467DC">
        <w:rPr>
          <w:sz w:val="20"/>
          <w:szCs w:val="22"/>
          <w:lang w:val="en-US"/>
        </w:rPr>
        <w:t xml:space="preserve"> 0.41 </w:t>
      </w:r>
      <w:r w:rsidR="00196DAA" w:rsidRPr="003467DC">
        <w:rPr>
          <w:sz w:val="20"/>
          <w:szCs w:val="22"/>
          <w:lang w:val="en-US"/>
        </w:rPr>
        <w:t xml:space="preserve">for </w:t>
      </w:r>
      <w:r w:rsidRPr="003467DC">
        <w:rPr>
          <w:sz w:val="20"/>
          <w:szCs w:val="22"/>
          <w:lang w:val="en-US"/>
        </w:rPr>
        <w:t xml:space="preserve">the </w:t>
      </w:r>
      <w:proofErr w:type="spellStart"/>
      <w:r w:rsidRPr="003467DC">
        <w:rPr>
          <w:sz w:val="20"/>
          <w:szCs w:val="22"/>
          <w:lang w:val="en-US"/>
        </w:rPr>
        <w:t>Cyberknife</w:t>
      </w:r>
      <w:proofErr w:type="spellEnd"/>
      <w:r w:rsidR="00196DAA" w:rsidRPr="003467DC">
        <w:rPr>
          <w:sz w:val="20"/>
          <w:szCs w:val="22"/>
          <w:lang w:val="en-US"/>
        </w:rPr>
        <w:t xml:space="preserve"> and</w:t>
      </w:r>
      <w:r w:rsidRPr="003467DC">
        <w:rPr>
          <w:sz w:val="20"/>
          <w:szCs w:val="22"/>
          <w:lang w:val="en-US"/>
        </w:rPr>
        <w:t xml:space="preserve"> </w:t>
      </w:r>
      <w:r w:rsidR="00196DAA" w:rsidRPr="003467DC">
        <w:rPr>
          <w:sz w:val="20"/>
          <w:szCs w:val="22"/>
          <w:lang w:val="en-US"/>
        </w:rPr>
        <w:t xml:space="preserve">0.35 for the </w:t>
      </w:r>
      <w:proofErr w:type="spellStart"/>
      <w:r w:rsidR="004D7E4E">
        <w:rPr>
          <w:sz w:val="20"/>
          <w:szCs w:val="22"/>
          <w:lang w:val="en-US"/>
        </w:rPr>
        <w:t>VersaHD</w:t>
      </w:r>
      <w:proofErr w:type="spellEnd"/>
      <w:r w:rsidR="004D7E4E">
        <w:rPr>
          <w:sz w:val="20"/>
          <w:szCs w:val="22"/>
          <w:lang w:val="en-US"/>
        </w:rPr>
        <w:t xml:space="preserve">. The </w:t>
      </w:r>
      <w:r w:rsidR="004D7E4E">
        <w:rPr>
          <w:sz w:val="20"/>
          <w:szCs w:val="22"/>
          <w:lang w:val="en-US"/>
        </w:rPr>
        <w:t>mean</w:t>
      </w:r>
      <w:r w:rsidR="004D7E4E">
        <w:rPr>
          <w:sz w:val="20"/>
          <w:szCs w:val="22"/>
          <w:lang w:val="en-US"/>
        </w:rPr>
        <w:t xml:space="preserve"> geometric </w:t>
      </w:r>
      <w:r w:rsidRPr="003467DC">
        <w:rPr>
          <w:sz w:val="20"/>
          <w:szCs w:val="22"/>
          <w:lang w:val="en-US"/>
        </w:rPr>
        <w:t xml:space="preserve">differences between the measured and calculated dose distributions </w:t>
      </w:r>
      <w:r w:rsidR="004D7E4E">
        <w:rPr>
          <w:sz w:val="20"/>
          <w:szCs w:val="22"/>
          <w:lang w:val="en-US"/>
        </w:rPr>
        <w:t>were</w:t>
      </w:r>
      <w:r w:rsidRPr="003467DC">
        <w:rPr>
          <w:sz w:val="20"/>
          <w:szCs w:val="22"/>
          <w:lang w:val="en-US"/>
        </w:rPr>
        <w:t xml:space="preserve"> 0.86 mm and 0.50 mm </w:t>
      </w:r>
      <w:proofErr w:type="spellStart"/>
      <w:r w:rsidRPr="003467DC">
        <w:rPr>
          <w:sz w:val="20"/>
          <w:szCs w:val="22"/>
          <w:lang w:val="en-US"/>
        </w:rPr>
        <w:t>Cyberknife</w:t>
      </w:r>
      <w:proofErr w:type="spellEnd"/>
      <w:r w:rsidRPr="003467DC">
        <w:rPr>
          <w:sz w:val="20"/>
          <w:szCs w:val="22"/>
          <w:lang w:val="en-US"/>
        </w:rPr>
        <w:t xml:space="preserve"> to </w:t>
      </w:r>
      <w:proofErr w:type="spellStart"/>
      <w:r w:rsidRPr="003467DC">
        <w:rPr>
          <w:sz w:val="20"/>
          <w:szCs w:val="22"/>
          <w:lang w:val="en-US"/>
        </w:rPr>
        <w:t>VersaHD</w:t>
      </w:r>
      <w:proofErr w:type="spellEnd"/>
      <w:r w:rsidRPr="003467DC">
        <w:rPr>
          <w:sz w:val="20"/>
          <w:szCs w:val="22"/>
          <w:lang w:val="en-US"/>
        </w:rPr>
        <w:t>.</w:t>
      </w:r>
    </w:p>
    <w:p w:rsidR="00307004" w:rsidRPr="003467DC" w:rsidRDefault="00307004" w:rsidP="00307004">
      <w:pPr>
        <w:spacing w:line="259" w:lineRule="auto"/>
        <w:rPr>
          <w:b/>
          <w:sz w:val="20"/>
          <w:szCs w:val="22"/>
          <w:lang w:val="en-US"/>
        </w:rPr>
      </w:pPr>
    </w:p>
    <w:p w:rsidR="00307004" w:rsidRPr="003467DC" w:rsidRDefault="00307004" w:rsidP="00307004">
      <w:pPr>
        <w:spacing w:line="259" w:lineRule="auto"/>
        <w:rPr>
          <w:b/>
          <w:sz w:val="20"/>
          <w:szCs w:val="22"/>
          <w:lang w:val="en-US"/>
        </w:rPr>
      </w:pPr>
      <w:proofErr w:type="gramStart"/>
      <w:r w:rsidRPr="003467DC">
        <w:rPr>
          <w:b/>
          <w:sz w:val="20"/>
          <w:szCs w:val="22"/>
          <w:lang w:val="en-US"/>
        </w:rPr>
        <w:t>Conclusion :</w:t>
      </w:r>
      <w:proofErr w:type="gramEnd"/>
    </w:p>
    <w:p w:rsidR="00196DAA" w:rsidRPr="003467DC" w:rsidRDefault="00307004" w:rsidP="00307004">
      <w:pPr>
        <w:spacing w:line="259" w:lineRule="auto"/>
        <w:jc w:val="both"/>
        <w:rPr>
          <w:sz w:val="20"/>
          <w:szCs w:val="22"/>
          <w:lang w:val="en-US"/>
        </w:rPr>
      </w:pPr>
      <w:r w:rsidRPr="003467DC">
        <w:rPr>
          <w:sz w:val="20"/>
          <w:szCs w:val="22"/>
          <w:lang w:val="en-US"/>
        </w:rPr>
        <w:t xml:space="preserve">Both treatment modalities, </w:t>
      </w:r>
      <w:proofErr w:type="spellStart"/>
      <w:r w:rsidRPr="003467DC">
        <w:rPr>
          <w:sz w:val="20"/>
          <w:szCs w:val="22"/>
          <w:lang w:val="en-US"/>
        </w:rPr>
        <w:t>Cyberknife</w:t>
      </w:r>
      <w:proofErr w:type="spellEnd"/>
      <w:r w:rsidRPr="003467DC">
        <w:rPr>
          <w:sz w:val="20"/>
          <w:szCs w:val="22"/>
          <w:lang w:val="en-US"/>
        </w:rPr>
        <w:t xml:space="preserve"> and </w:t>
      </w:r>
      <w:proofErr w:type="spellStart"/>
      <w:r w:rsidRPr="003467DC">
        <w:rPr>
          <w:sz w:val="20"/>
          <w:szCs w:val="22"/>
          <w:lang w:val="en-US"/>
        </w:rPr>
        <w:t>VersaHD</w:t>
      </w:r>
      <w:proofErr w:type="spellEnd"/>
      <w:r w:rsidRPr="003467DC">
        <w:rPr>
          <w:sz w:val="20"/>
          <w:szCs w:val="22"/>
          <w:lang w:val="en-US"/>
        </w:rPr>
        <w:t xml:space="preserve"> with </w:t>
      </w:r>
      <w:proofErr w:type="spellStart"/>
      <w:r w:rsidRPr="003467DC">
        <w:rPr>
          <w:sz w:val="20"/>
          <w:szCs w:val="22"/>
          <w:lang w:val="en-US"/>
        </w:rPr>
        <w:t>ExacTrac</w:t>
      </w:r>
      <w:proofErr w:type="spellEnd"/>
      <w:r w:rsidRPr="003467DC">
        <w:rPr>
          <w:sz w:val="20"/>
          <w:szCs w:val="22"/>
          <w:lang w:val="en-US"/>
        </w:rPr>
        <w:t xml:space="preserve">, allow compliance </w:t>
      </w:r>
      <w:r w:rsidR="00196DAA" w:rsidRPr="003467DC">
        <w:rPr>
          <w:sz w:val="20"/>
          <w:szCs w:val="22"/>
          <w:lang w:val="en-US"/>
        </w:rPr>
        <w:t xml:space="preserve">to </w:t>
      </w:r>
      <w:proofErr w:type="spellStart"/>
      <w:r w:rsidRPr="003467DC">
        <w:rPr>
          <w:sz w:val="20"/>
          <w:szCs w:val="22"/>
          <w:lang w:val="en-US"/>
        </w:rPr>
        <w:t>dosimetric</w:t>
      </w:r>
      <w:proofErr w:type="spellEnd"/>
      <w:r w:rsidRPr="003467DC">
        <w:rPr>
          <w:sz w:val="20"/>
          <w:szCs w:val="22"/>
          <w:lang w:val="en-US"/>
        </w:rPr>
        <w:t xml:space="preserve"> </w:t>
      </w:r>
      <w:r w:rsidR="004D7E4E" w:rsidRPr="003467DC">
        <w:rPr>
          <w:sz w:val="20"/>
          <w:szCs w:val="22"/>
          <w:lang w:val="en-US"/>
        </w:rPr>
        <w:t>criteria</w:t>
      </w:r>
      <w:r w:rsidRPr="003467DC">
        <w:rPr>
          <w:sz w:val="20"/>
          <w:szCs w:val="22"/>
          <w:lang w:val="en-US"/>
        </w:rPr>
        <w:t xml:space="preserve"> in the stereotactic treatment of brain metastases. The </w:t>
      </w:r>
      <w:proofErr w:type="spellStart"/>
      <w:r w:rsidRPr="003467DC">
        <w:rPr>
          <w:sz w:val="20"/>
          <w:szCs w:val="22"/>
          <w:lang w:val="en-US"/>
        </w:rPr>
        <w:t>Cyberknife</w:t>
      </w:r>
      <w:proofErr w:type="spellEnd"/>
      <w:r w:rsidRPr="003467DC">
        <w:rPr>
          <w:sz w:val="20"/>
          <w:szCs w:val="22"/>
          <w:lang w:val="en-US"/>
        </w:rPr>
        <w:t xml:space="preserve"> pro</w:t>
      </w:r>
      <w:r w:rsidR="00196DAA" w:rsidRPr="003467DC">
        <w:rPr>
          <w:sz w:val="20"/>
          <w:szCs w:val="22"/>
          <w:lang w:val="en-US"/>
        </w:rPr>
        <w:t>vides higher dose gradients than the</w:t>
      </w:r>
      <w:r w:rsidRPr="003467DC">
        <w:rPr>
          <w:sz w:val="20"/>
          <w:szCs w:val="22"/>
          <w:lang w:val="en-US"/>
        </w:rPr>
        <w:t xml:space="preserve"> </w:t>
      </w:r>
      <w:proofErr w:type="spellStart"/>
      <w:r w:rsidRPr="003467DC">
        <w:rPr>
          <w:sz w:val="20"/>
          <w:szCs w:val="22"/>
          <w:lang w:val="en-US"/>
        </w:rPr>
        <w:t>VersaHD</w:t>
      </w:r>
      <w:proofErr w:type="spellEnd"/>
      <w:r w:rsidRPr="003467DC">
        <w:rPr>
          <w:sz w:val="20"/>
          <w:szCs w:val="22"/>
          <w:lang w:val="en-US"/>
        </w:rPr>
        <w:t xml:space="preserve"> and limit irradiation of healthy tissues at low</w:t>
      </w:r>
      <w:r w:rsidR="00196DAA" w:rsidRPr="003467DC">
        <w:rPr>
          <w:sz w:val="20"/>
          <w:szCs w:val="22"/>
          <w:lang w:val="en-US"/>
        </w:rPr>
        <w:t xml:space="preserve"> doses. </w:t>
      </w:r>
      <w:r w:rsidR="004D7E4E">
        <w:rPr>
          <w:sz w:val="20"/>
          <w:szCs w:val="22"/>
          <w:lang w:val="en-US"/>
        </w:rPr>
        <w:t>The agreement between calculated dose and measured dose</w:t>
      </w:r>
      <w:r w:rsidRPr="003467DC">
        <w:rPr>
          <w:sz w:val="20"/>
          <w:szCs w:val="22"/>
          <w:lang w:val="en-US"/>
        </w:rPr>
        <w:t xml:space="preserve"> was </w:t>
      </w:r>
      <w:r w:rsidR="00196DAA" w:rsidRPr="003467DC">
        <w:rPr>
          <w:sz w:val="20"/>
          <w:szCs w:val="22"/>
          <w:lang w:val="en-US"/>
        </w:rPr>
        <w:t>acceptable</w:t>
      </w:r>
      <w:r w:rsidRPr="003467DC">
        <w:rPr>
          <w:sz w:val="20"/>
          <w:szCs w:val="22"/>
          <w:lang w:val="en-US"/>
        </w:rPr>
        <w:t xml:space="preserve"> for both modalities with </w:t>
      </w:r>
      <w:r w:rsidR="00196DAA" w:rsidRPr="003467DC">
        <w:rPr>
          <w:sz w:val="20"/>
          <w:szCs w:val="22"/>
          <w:lang w:val="en-US"/>
        </w:rPr>
        <w:t>mean gamma values</w:t>
      </w:r>
      <w:r w:rsidRPr="003467DC">
        <w:rPr>
          <w:sz w:val="20"/>
          <w:szCs w:val="22"/>
          <w:lang w:val="en-US"/>
        </w:rPr>
        <w:t xml:space="preserve">​​ </w:t>
      </w:r>
      <w:r w:rsidR="0048187C">
        <w:rPr>
          <w:sz w:val="20"/>
          <w:szCs w:val="22"/>
          <w:lang w:val="en-US"/>
        </w:rPr>
        <w:t>lower</w:t>
      </w:r>
      <w:r w:rsidRPr="003467DC">
        <w:rPr>
          <w:sz w:val="20"/>
          <w:szCs w:val="22"/>
          <w:lang w:val="en-US"/>
        </w:rPr>
        <w:t xml:space="preserve"> than 0.5. </w:t>
      </w:r>
      <w:r w:rsidR="00820CCD">
        <w:rPr>
          <w:sz w:val="20"/>
          <w:szCs w:val="22"/>
          <w:lang w:val="en-US"/>
        </w:rPr>
        <w:t xml:space="preserve">An investigation will be </w:t>
      </w:r>
      <w:r w:rsidR="00820CCD" w:rsidRPr="00820CCD">
        <w:rPr>
          <w:sz w:val="20"/>
          <w:szCs w:val="22"/>
          <w:lang w:val="en-US"/>
        </w:rPr>
        <w:t xml:space="preserve">performed to evaluate low margins (1 mm) </w:t>
      </w:r>
      <w:r w:rsidR="00820CCD" w:rsidRPr="00820CCD">
        <w:rPr>
          <w:sz w:val="20"/>
          <w:szCs w:val="22"/>
          <w:lang w:val="en-US"/>
        </w:rPr>
        <w:t xml:space="preserve">with the </w:t>
      </w:r>
      <w:proofErr w:type="spellStart"/>
      <w:r w:rsidR="00820CCD" w:rsidRPr="00820CCD">
        <w:rPr>
          <w:sz w:val="20"/>
          <w:szCs w:val="22"/>
          <w:lang w:val="en-US"/>
        </w:rPr>
        <w:t>VersaHD</w:t>
      </w:r>
      <w:proofErr w:type="spellEnd"/>
      <w:r w:rsidR="00820CCD" w:rsidRPr="00820CCD">
        <w:rPr>
          <w:sz w:val="20"/>
          <w:szCs w:val="22"/>
          <w:lang w:val="en-US"/>
        </w:rPr>
        <w:t xml:space="preserve"> / </w:t>
      </w:r>
      <w:proofErr w:type="spellStart"/>
      <w:r w:rsidR="00820CCD" w:rsidRPr="00820CCD">
        <w:rPr>
          <w:sz w:val="20"/>
          <w:szCs w:val="22"/>
          <w:lang w:val="en-US"/>
        </w:rPr>
        <w:t>ExacTrac</w:t>
      </w:r>
      <w:proofErr w:type="spellEnd"/>
      <w:r w:rsidR="00820CCD" w:rsidRPr="00820CCD">
        <w:rPr>
          <w:sz w:val="20"/>
          <w:szCs w:val="22"/>
          <w:lang w:val="en-US"/>
        </w:rPr>
        <w:t xml:space="preserve"> due to the very </w:t>
      </w:r>
      <w:r w:rsidR="00820CCD" w:rsidRPr="00820CCD">
        <w:rPr>
          <w:sz w:val="20"/>
          <w:szCs w:val="22"/>
          <w:lang w:val="en-US"/>
        </w:rPr>
        <w:t>low geometric deviations</w:t>
      </w:r>
      <w:r w:rsidR="00820CCD" w:rsidRPr="00820CCD">
        <w:rPr>
          <w:sz w:val="20"/>
          <w:szCs w:val="22"/>
          <w:lang w:val="en-US"/>
        </w:rPr>
        <w:t>.</w:t>
      </w:r>
      <w:r w:rsidR="00820CCD">
        <w:rPr>
          <w:sz w:val="20"/>
          <w:szCs w:val="22"/>
          <w:lang w:val="en-US"/>
        </w:rPr>
        <w:t xml:space="preserve"> </w:t>
      </w:r>
    </w:p>
    <w:p w:rsidR="00196DAA" w:rsidRDefault="00196DAA" w:rsidP="00307004">
      <w:pPr>
        <w:spacing w:line="259" w:lineRule="auto"/>
        <w:jc w:val="both"/>
        <w:rPr>
          <w:sz w:val="20"/>
          <w:szCs w:val="22"/>
          <w:lang w:val="en-US"/>
        </w:rPr>
      </w:pPr>
    </w:p>
    <w:p w:rsidR="007901D2" w:rsidRPr="003467DC" w:rsidRDefault="007901D2" w:rsidP="00307004">
      <w:pPr>
        <w:spacing w:line="259" w:lineRule="auto"/>
        <w:jc w:val="both"/>
        <w:rPr>
          <w:sz w:val="20"/>
          <w:szCs w:val="22"/>
          <w:lang w:val="en-US"/>
        </w:rPr>
      </w:pPr>
      <w:r w:rsidRPr="007901D2">
        <w:rPr>
          <w:b/>
          <w:sz w:val="20"/>
          <w:szCs w:val="22"/>
          <w:lang w:val="en-US"/>
        </w:rPr>
        <w:t>Key-words</w:t>
      </w:r>
      <w:r>
        <w:rPr>
          <w:sz w:val="20"/>
          <w:szCs w:val="22"/>
          <w:lang w:val="en-US"/>
        </w:rPr>
        <w:t xml:space="preserve">: </w:t>
      </w:r>
      <w:r w:rsidRPr="007901D2">
        <w:rPr>
          <w:sz w:val="20"/>
          <w:szCs w:val="22"/>
          <w:lang w:val="en-US"/>
        </w:rPr>
        <w:t>Stereotactic radiotherapy</w:t>
      </w:r>
      <w:r w:rsidR="00E6107A">
        <w:rPr>
          <w:sz w:val="20"/>
          <w:szCs w:val="22"/>
          <w:lang w:val="en-US"/>
        </w:rPr>
        <w:t>;</w:t>
      </w:r>
      <w:r w:rsidRPr="007901D2">
        <w:rPr>
          <w:sz w:val="20"/>
          <w:szCs w:val="22"/>
          <w:lang w:val="en-US"/>
        </w:rPr>
        <w:t xml:space="preserve"> brain</w:t>
      </w:r>
      <w:r w:rsidRPr="007901D2">
        <w:rPr>
          <w:sz w:val="20"/>
          <w:szCs w:val="22"/>
          <w:lang w:val="en-US"/>
        </w:rPr>
        <w:t xml:space="preserve"> metastases</w:t>
      </w:r>
      <w:r w:rsidR="00E6107A">
        <w:rPr>
          <w:sz w:val="20"/>
          <w:szCs w:val="22"/>
          <w:lang w:val="en-US"/>
        </w:rPr>
        <w:t>;</w:t>
      </w:r>
      <w:r w:rsidRPr="007901D2">
        <w:rPr>
          <w:sz w:val="20"/>
          <w:szCs w:val="22"/>
          <w:lang w:val="en-US"/>
        </w:rPr>
        <w:t xml:space="preserve"> </w:t>
      </w:r>
      <w:proofErr w:type="spellStart"/>
      <w:r w:rsidRPr="007901D2">
        <w:rPr>
          <w:sz w:val="20"/>
          <w:szCs w:val="22"/>
          <w:lang w:val="en-US"/>
        </w:rPr>
        <w:t>Cyberknife</w:t>
      </w:r>
      <w:proofErr w:type="spellEnd"/>
      <w:r w:rsidR="00E6107A">
        <w:rPr>
          <w:sz w:val="20"/>
          <w:szCs w:val="22"/>
          <w:lang w:val="en-US"/>
        </w:rPr>
        <w:t>;</w:t>
      </w:r>
      <w:r w:rsidRPr="007901D2">
        <w:rPr>
          <w:sz w:val="20"/>
          <w:szCs w:val="22"/>
          <w:lang w:val="en-US"/>
        </w:rPr>
        <w:t xml:space="preserve"> </w:t>
      </w:r>
      <w:proofErr w:type="spellStart"/>
      <w:r w:rsidRPr="007901D2">
        <w:rPr>
          <w:sz w:val="20"/>
          <w:szCs w:val="22"/>
          <w:lang w:val="en-US"/>
        </w:rPr>
        <w:t>VersaHD</w:t>
      </w:r>
      <w:proofErr w:type="spellEnd"/>
      <w:r w:rsidR="00E6107A">
        <w:rPr>
          <w:sz w:val="20"/>
          <w:szCs w:val="22"/>
          <w:lang w:val="en-US"/>
        </w:rPr>
        <w:t>;</w:t>
      </w:r>
      <w:r w:rsidRPr="007901D2">
        <w:rPr>
          <w:sz w:val="20"/>
          <w:szCs w:val="22"/>
          <w:lang w:val="en-US"/>
        </w:rPr>
        <w:t xml:space="preserve"> </w:t>
      </w:r>
      <w:proofErr w:type="spellStart"/>
      <w:r w:rsidRPr="007901D2">
        <w:rPr>
          <w:sz w:val="20"/>
          <w:szCs w:val="22"/>
          <w:lang w:val="en-US"/>
        </w:rPr>
        <w:t>ExacTrac</w:t>
      </w:r>
      <w:proofErr w:type="spellEnd"/>
    </w:p>
    <w:p w:rsidR="00196DAA" w:rsidRPr="003467DC" w:rsidRDefault="00196DAA" w:rsidP="00307004">
      <w:pPr>
        <w:spacing w:line="259" w:lineRule="auto"/>
        <w:jc w:val="both"/>
        <w:rPr>
          <w:sz w:val="20"/>
          <w:szCs w:val="22"/>
          <w:lang w:val="en-US"/>
        </w:rPr>
      </w:pPr>
    </w:p>
    <w:p w:rsidR="00196DAA" w:rsidRPr="003467DC" w:rsidRDefault="00196DAA" w:rsidP="00307004">
      <w:pPr>
        <w:spacing w:line="259" w:lineRule="auto"/>
        <w:jc w:val="both"/>
        <w:rPr>
          <w:sz w:val="20"/>
          <w:szCs w:val="22"/>
          <w:lang w:val="en-US"/>
        </w:rPr>
      </w:pPr>
    </w:p>
    <w:p w:rsidR="00196DAA" w:rsidRPr="003467DC" w:rsidRDefault="00196DAA" w:rsidP="00307004">
      <w:pPr>
        <w:spacing w:line="259" w:lineRule="auto"/>
        <w:jc w:val="both"/>
        <w:rPr>
          <w:sz w:val="20"/>
          <w:szCs w:val="22"/>
          <w:lang w:val="en-US"/>
        </w:rPr>
      </w:pPr>
    </w:p>
    <w:p w:rsidR="00196DAA" w:rsidRPr="003467DC" w:rsidRDefault="00196DAA" w:rsidP="00307004">
      <w:pPr>
        <w:spacing w:line="259" w:lineRule="auto"/>
        <w:jc w:val="both"/>
        <w:rPr>
          <w:sz w:val="20"/>
          <w:szCs w:val="22"/>
          <w:lang w:val="en-US"/>
        </w:rPr>
      </w:pPr>
    </w:p>
    <w:p w:rsidR="00196DAA" w:rsidRPr="003467DC" w:rsidRDefault="00196DAA" w:rsidP="00307004">
      <w:pPr>
        <w:spacing w:line="259" w:lineRule="auto"/>
        <w:jc w:val="both"/>
        <w:rPr>
          <w:sz w:val="20"/>
          <w:szCs w:val="22"/>
          <w:lang w:val="en-US"/>
        </w:rPr>
      </w:pPr>
    </w:p>
    <w:p w:rsidR="00196DAA" w:rsidRPr="003467DC" w:rsidRDefault="00196DAA" w:rsidP="00307004">
      <w:pPr>
        <w:spacing w:line="259" w:lineRule="auto"/>
        <w:jc w:val="both"/>
        <w:rPr>
          <w:sz w:val="20"/>
          <w:szCs w:val="22"/>
          <w:lang w:val="en-US"/>
        </w:rPr>
      </w:pPr>
    </w:p>
    <w:p w:rsidR="00196DAA" w:rsidRPr="003467DC" w:rsidRDefault="00196DAA" w:rsidP="00307004">
      <w:pPr>
        <w:spacing w:line="259" w:lineRule="auto"/>
        <w:jc w:val="both"/>
        <w:rPr>
          <w:sz w:val="20"/>
          <w:szCs w:val="22"/>
          <w:lang w:val="en-US"/>
        </w:rPr>
      </w:pPr>
    </w:p>
    <w:p w:rsidR="00196DAA" w:rsidRPr="003467DC" w:rsidRDefault="00196DAA" w:rsidP="00307004">
      <w:pPr>
        <w:spacing w:line="259" w:lineRule="auto"/>
        <w:jc w:val="both"/>
        <w:rPr>
          <w:sz w:val="20"/>
          <w:szCs w:val="22"/>
          <w:lang w:val="en-US"/>
        </w:rPr>
      </w:pPr>
    </w:p>
    <w:p w:rsidR="00196DAA" w:rsidRPr="003467DC" w:rsidRDefault="00196DAA" w:rsidP="00307004">
      <w:pPr>
        <w:spacing w:line="259" w:lineRule="auto"/>
        <w:jc w:val="both"/>
        <w:rPr>
          <w:sz w:val="20"/>
          <w:szCs w:val="22"/>
          <w:lang w:val="en-US"/>
        </w:rPr>
      </w:pPr>
    </w:p>
    <w:p w:rsidR="00196DAA" w:rsidRPr="003467DC" w:rsidRDefault="00196DAA" w:rsidP="00307004">
      <w:pPr>
        <w:spacing w:line="259" w:lineRule="auto"/>
        <w:jc w:val="both"/>
        <w:rPr>
          <w:sz w:val="20"/>
          <w:szCs w:val="22"/>
          <w:lang w:val="en-US"/>
        </w:rPr>
      </w:pPr>
    </w:p>
    <w:p w:rsidR="00196DAA" w:rsidRPr="003467DC" w:rsidRDefault="00196DAA" w:rsidP="00307004">
      <w:pPr>
        <w:spacing w:line="259" w:lineRule="auto"/>
        <w:jc w:val="both"/>
        <w:rPr>
          <w:sz w:val="20"/>
          <w:szCs w:val="22"/>
          <w:lang w:val="en-US"/>
        </w:rPr>
      </w:pPr>
    </w:p>
    <w:p w:rsidR="00196DAA" w:rsidRPr="003467DC" w:rsidRDefault="00196DAA" w:rsidP="00196DAA">
      <w:pPr>
        <w:rPr>
          <w:lang w:val="en-US"/>
        </w:rPr>
      </w:pPr>
    </w:p>
    <w:tbl>
      <w:tblPr>
        <w:tblpPr w:leftFromText="141" w:rightFromText="141" w:vertAnchor="text" w:horzAnchor="page" w:tblpX="1691" w:tblpY="181"/>
        <w:tblW w:w="8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083"/>
        <w:gridCol w:w="884"/>
        <w:gridCol w:w="2178"/>
        <w:gridCol w:w="1488"/>
      </w:tblGrid>
      <w:tr w:rsidR="00196DAA" w:rsidRPr="00E1501F" w:rsidTr="00D00405">
        <w:trPr>
          <w:trHeight w:val="482"/>
        </w:trPr>
        <w:tc>
          <w:tcPr>
            <w:tcW w:w="3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6DAA" w:rsidRPr="003467DC" w:rsidRDefault="00196DAA" w:rsidP="00196DAA">
            <w:pPr>
              <w:rPr>
                <w:lang w:val="en-US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6DAA" w:rsidRPr="006835EE" w:rsidRDefault="00196DAA" w:rsidP="00196DAA">
            <w:pPr>
              <w:jc w:val="center"/>
              <w:rPr>
                <w:b/>
              </w:rPr>
            </w:pPr>
            <w:proofErr w:type="spellStart"/>
            <w:r w:rsidRPr="006835EE">
              <w:rPr>
                <w:b/>
              </w:rPr>
              <w:t>Cyberknife</w:t>
            </w:r>
            <w:proofErr w:type="spellEnd"/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DAA" w:rsidRPr="006835EE" w:rsidRDefault="00196DAA" w:rsidP="00196DAA">
            <w:pPr>
              <w:jc w:val="center"/>
              <w:rPr>
                <w:b/>
              </w:rPr>
            </w:pPr>
            <w:proofErr w:type="spellStart"/>
            <w:r w:rsidRPr="006835EE">
              <w:rPr>
                <w:b/>
              </w:rPr>
              <w:t>VersaHD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Exactrac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DAA" w:rsidRPr="006835EE" w:rsidRDefault="00196DAA" w:rsidP="00196D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Criteria</w:t>
            </w:r>
            <w:proofErr w:type="spellEnd"/>
            <w:r w:rsidRPr="006835EE">
              <w:rPr>
                <w:b/>
              </w:rPr>
              <w:t xml:space="preserve"> </w:t>
            </w:r>
          </w:p>
        </w:tc>
      </w:tr>
      <w:tr w:rsidR="00196DAA" w:rsidRPr="00E1501F" w:rsidTr="00D00405">
        <w:trPr>
          <w:trHeight w:val="40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DAA" w:rsidRPr="0056285E" w:rsidRDefault="00196DAA" w:rsidP="00196DAA">
            <w:pPr>
              <w:jc w:val="center"/>
              <w:rPr>
                <w:b/>
              </w:rPr>
            </w:pPr>
            <w:r w:rsidRPr="0056285E">
              <w:rPr>
                <w:b/>
              </w:rPr>
              <w:t xml:space="preserve">CTV </w:t>
            </w:r>
            <w:r w:rsidRPr="0056285E">
              <w:rPr>
                <w:rFonts w:ascii="Times New Roman" w:hAnsi="Times New Roman" w:cs="Times New Roman"/>
                <w:b/>
              </w:rPr>
              <w:t>→</w:t>
            </w:r>
            <w:r>
              <w:rPr>
                <w:b/>
              </w:rPr>
              <w:t xml:space="preserve"> </w:t>
            </w:r>
            <w:r w:rsidRPr="0056285E">
              <w:rPr>
                <w:b/>
              </w:rPr>
              <w:t xml:space="preserve">PTV </w:t>
            </w:r>
            <w:proofErr w:type="spellStart"/>
            <w:r>
              <w:rPr>
                <w:b/>
              </w:rPr>
              <w:t>m</w:t>
            </w:r>
            <w:r w:rsidRPr="0056285E">
              <w:rPr>
                <w:b/>
              </w:rPr>
              <w:t>arg</w:t>
            </w:r>
            <w:r>
              <w:rPr>
                <w:b/>
              </w:rPr>
              <w:t>ins</w:t>
            </w:r>
            <w:proofErr w:type="spellEnd"/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6DAA" w:rsidRPr="006835EE" w:rsidRDefault="00196DAA" w:rsidP="00196DAA">
            <w:pPr>
              <w:jc w:val="center"/>
              <w:rPr>
                <w:b/>
              </w:rPr>
            </w:pPr>
            <w:r w:rsidRPr="006835EE">
              <w:rPr>
                <w:b/>
              </w:rPr>
              <w:t>1 mm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6DAA" w:rsidRPr="006835EE" w:rsidRDefault="00196DAA" w:rsidP="00196DAA">
            <w:pPr>
              <w:jc w:val="center"/>
              <w:rPr>
                <w:b/>
              </w:rPr>
            </w:pPr>
            <w:r w:rsidRPr="006835EE">
              <w:rPr>
                <w:b/>
              </w:rPr>
              <w:t>2 mm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DAA" w:rsidRPr="006835EE" w:rsidRDefault="00196DAA" w:rsidP="00196DAA">
            <w:pPr>
              <w:jc w:val="center"/>
              <w:rPr>
                <w:b/>
              </w:rPr>
            </w:pPr>
            <w:r w:rsidRPr="006835EE">
              <w:rPr>
                <w:b/>
              </w:rPr>
              <w:t>2 mm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6DAA" w:rsidRPr="00992533" w:rsidRDefault="00196DAA" w:rsidP="00196DAA">
            <w:pPr>
              <w:jc w:val="center"/>
            </w:pPr>
          </w:p>
        </w:tc>
      </w:tr>
      <w:tr w:rsidR="00196DAA" w:rsidRPr="00E1501F" w:rsidTr="00D00405">
        <w:trPr>
          <w:trHeight w:val="55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6DAA" w:rsidRPr="00992533" w:rsidRDefault="00196DAA" w:rsidP="00196DAA">
            <w:pPr>
              <w:jc w:val="center"/>
              <w:rPr>
                <w:b/>
              </w:rPr>
            </w:pPr>
            <w:r w:rsidRPr="00992533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992533">
              <w:rPr>
                <w:b/>
              </w:rPr>
              <w:t>PTV (27</w:t>
            </w:r>
            <w:r>
              <w:rPr>
                <w:b/>
              </w:rPr>
              <w:t xml:space="preserve"> </w:t>
            </w:r>
            <w:r w:rsidRPr="00992533">
              <w:rPr>
                <w:b/>
              </w:rPr>
              <w:t>Gy)  (%)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DAA" w:rsidRPr="00992533" w:rsidRDefault="00196DAA" w:rsidP="00B72026">
            <w:pPr>
              <w:jc w:val="center"/>
            </w:pPr>
            <w:r w:rsidRPr="00992533">
              <w:t>97</w:t>
            </w:r>
            <w:r w:rsidR="00B72026">
              <w:t>.</w:t>
            </w:r>
            <w:r w:rsidRPr="00992533">
              <w:t>6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A" w:rsidRPr="00992533" w:rsidRDefault="00196DAA" w:rsidP="00B72026">
            <w:pPr>
              <w:jc w:val="center"/>
            </w:pPr>
            <w:r w:rsidRPr="00992533">
              <w:t>97</w:t>
            </w:r>
            <w:r w:rsidR="00B72026">
              <w:t>.</w:t>
            </w:r>
            <w:r w:rsidRPr="00992533">
              <w:t>9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A" w:rsidRPr="00992533" w:rsidRDefault="00196DAA" w:rsidP="00B72026">
            <w:pPr>
              <w:jc w:val="center"/>
            </w:pPr>
            <w:r w:rsidRPr="00992533">
              <w:t>97</w:t>
            </w:r>
            <w:r w:rsidR="00B72026">
              <w:t>.</w:t>
            </w:r>
            <w:r w:rsidRPr="00992533">
              <w:t>5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DAA" w:rsidRPr="00992533" w:rsidRDefault="00196DAA" w:rsidP="00196DAA">
            <w:pPr>
              <w:jc w:val="center"/>
            </w:pPr>
            <w:r w:rsidRPr="00992533">
              <w:t>&gt; 95</w:t>
            </w:r>
          </w:p>
        </w:tc>
      </w:tr>
      <w:tr w:rsidR="00196DAA" w:rsidRPr="00E1501F" w:rsidTr="00D00405">
        <w:trPr>
          <w:trHeight w:val="55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DAA" w:rsidRPr="003467DC" w:rsidRDefault="00196DAA" w:rsidP="00196DAA">
            <w:pPr>
              <w:jc w:val="center"/>
              <w:rPr>
                <w:b/>
                <w:lang w:val="en-US"/>
              </w:rPr>
            </w:pPr>
            <w:r w:rsidRPr="003467DC">
              <w:rPr>
                <w:b/>
                <w:lang w:val="en-US"/>
              </w:rPr>
              <w:t xml:space="preserve">V BRAIN OUTSIDE PTV </w:t>
            </w:r>
          </w:p>
          <w:p w:rsidR="00196DAA" w:rsidRPr="003467DC" w:rsidRDefault="00196DAA" w:rsidP="00D00405">
            <w:pPr>
              <w:jc w:val="center"/>
              <w:rPr>
                <w:b/>
                <w:lang w:val="en-US"/>
              </w:rPr>
            </w:pPr>
            <w:r w:rsidRPr="003467DC">
              <w:rPr>
                <w:b/>
                <w:lang w:val="en-US"/>
              </w:rPr>
              <w:t>(23</w:t>
            </w:r>
            <w:r w:rsidR="00B72026">
              <w:rPr>
                <w:b/>
                <w:lang w:val="en-US"/>
              </w:rPr>
              <w:t>.</w:t>
            </w:r>
            <w:r w:rsidRPr="003467DC">
              <w:rPr>
                <w:b/>
                <w:lang w:val="en-US"/>
              </w:rPr>
              <w:t xml:space="preserve">1 </w:t>
            </w:r>
            <w:proofErr w:type="spellStart"/>
            <w:r w:rsidR="00203DBD" w:rsidRPr="003467DC">
              <w:rPr>
                <w:b/>
                <w:lang w:val="en-US"/>
              </w:rPr>
              <w:t>Gy</w:t>
            </w:r>
            <w:proofErr w:type="spellEnd"/>
            <w:r w:rsidR="00203DBD" w:rsidRPr="003467DC">
              <w:rPr>
                <w:b/>
                <w:lang w:val="en-US"/>
              </w:rPr>
              <w:t>)  (c</w:t>
            </w:r>
            <w:r w:rsidR="00D00405">
              <w:rPr>
                <w:b/>
                <w:lang w:val="en-US"/>
              </w:rPr>
              <w:t>m</w:t>
            </w:r>
            <w:r w:rsidR="00D00405" w:rsidRPr="00D00405">
              <w:rPr>
                <w:b/>
                <w:vertAlign w:val="superscript"/>
                <w:lang w:val="en-US"/>
              </w:rPr>
              <w:t>3</w:t>
            </w:r>
            <w:r w:rsidRPr="003467DC">
              <w:rPr>
                <w:b/>
                <w:lang w:val="en-US"/>
              </w:rPr>
              <w:t>)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DAA" w:rsidRPr="00992533" w:rsidRDefault="00196DAA" w:rsidP="00B72026">
            <w:pPr>
              <w:jc w:val="center"/>
            </w:pPr>
            <w:r w:rsidRPr="00992533">
              <w:t>2</w:t>
            </w:r>
            <w:r w:rsidR="00B72026">
              <w:t>.</w:t>
            </w:r>
            <w:r w:rsidRPr="00992533"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6DAA" w:rsidRPr="00992533" w:rsidRDefault="00196DAA" w:rsidP="00B72026">
            <w:pPr>
              <w:jc w:val="center"/>
            </w:pPr>
            <w:r w:rsidRPr="00992533">
              <w:t>2</w:t>
            </w:r>
            <w:r w:rsidR="00B72026">
              <w:t>.</w:t>
            </w:r>
            <w:r w:rsidRPr="00992533">
              <w:t>8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DAA" w:rsidRPr="00992533" w:rsidRDefault="00196DAA" w:rsidP="00B72026">
            <w:pPr>
              <w:jc w:val="center"/>
            </w:pPr>
            <w:r w:rsidRPr="00992533">
              <w:t>2</w:t>
            </w:r>
            <w:r w:rsidR="00B72026">
              <w:t>.</w:t>
            </w:r>
            <w:r w:rsidRPr="00992533">
              <w:t>9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DAA" w:rsidRPr="00992533" w:rsidRDefault="00196DAA" w:rsidP="00196DAA">
            <w:pPr>
              <w:jc w:val="center"/>
            </w:pPr>
            <w:r w:rsidRPr="00992533">
              <w:t xml:space="preserve">&lt; 7 </w:t>
            </w:r>
          </w:p>
        </w:tc>
      </w:tr>
      <w:tr w:rsidR="00196DAA" w:rsidRPr="00E1501F" w:rsidTr="00D00405">
        <w:trPr>
          <w:trHeight w:val="55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6DAA" w:rsidRPr="00992533" w:rsidRDefault="00196DAA" w:rsidP="00B72026">
            <w:pPr>
              <w:jc w:val="center"/>
              <w:rPr>
                <w:b/>
              </w:rPr>
            </w:pPr>
            <w:r w:rsidRPr="00992533">
              <w:rPr>
                <w:b/>
              </w:rPr>
              <w:t>V 13</w:t>
            </w:r>
            <w:r w:rsidR="00B72026">
              <w:rPr>
                <w:b/>
              </w:rPr>
              <w:t>.</w:t>
            </w:r>
            <w:r w:rsidRPr="0099253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992533">
              <w:rPr>
                <w:b/>
              </w:rPr>
              <w:t>Gy / V 27</w:t>
            </w:r>
            <w:r>
              <w:rPr>
                <w:b/>
              </w:rPr>
              <w:t xml:space="preserve"> </w:t>
            </w:r>
            <w:r w:rsidRPr="00992533">
              <w:rPr>
                <w:b/>
              </w:rPr>
              <w:t>Gy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DAA" w:rsidRPr="00992533" w:rsidRDefault="00196DAA" w:rsidP="00196DAA">
            <w:pPr>
              <w:jc w:val="center"/>
            </w:pPr>
            <w:r w:rsidRPr="00992533">
              <w:t>3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A" w:rsidRPr="00992533" w:rsidRDefault="00196DAA" w:rsidP="00196DAA">
            <w:pPr>
              <w:jc w:val="center"/>
            </w:pPr>
            <w:r w:rsidRPr="00992533">
              <w:t>2,8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DAA" w:rsidRPr="00992533" w:rsidRDefault="00196DAA" w:rsidP="00B72026">
            <w:pPr>
              <w:jc w:val="center"/>
            </w:pPr>
            <w:r w:rsidRPr="00992533">
              <w:t>3</w:t>
            </w:r>
            <w:r w:rsidR="00B72026">
              <w:t>.</w:t>
            </w:r>
            <w:r w:rsidRPr="00992533">
              <w:t>6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DAA" w:rsidRPr="00992533" w:rsidRDefault="00196DAA" w:rsidP="00B72026">
            <w:pPr>
              <w:jc w:val="center"/>
            </w:pPr>
            <w:proofErr w:type="spellStart"/>
            <w:r>
              <w:t>Id</w:t>
            </w:r>
            <w:r w:rsidR="00B72026">
              <w:t>e</w:t>
            </w:r>
            <w:r>
              <w:t>al</w:t>
            </w:r>
            <w:proofErr w:type="spellEnd"/>
            <w:r>
              <w:t> :</w:t>
            </w:r>
            <w:r w:rsidRPr="00992533">
              <w:t xml:space="preserve"> 1</w:t>
            </w:r>
          </w:p>
        </w:tc>
      </w:tr>
      <w:tr w:rsidR="00196DAA" w:rsidRPr="00E1501F" w:rsidTr="00D00405">
        <w:trPr>
          <w:trHeight w:val="5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6DAA" w:rsidRPr="00992533" w:rsidRDefault="00196DAA" w:rsidP="00D00405">
            <w:pPr>
              <w:jc w:val="center"/>
              <w:rPr>
                <w:b/>
              </w:rPr>
            </w:pPr>
            <w:r w:rsidRPr="00992533">
              <w:rPr>
                <w:b/>
              </w:rPr>
              <w:t>V 6</w:t>
            </w:r>
            <w:r>
              <w:rPr>
                <w:b/>
              </w:rPr>
              <w:t xml:space="preserve"> </w:t>
            </w:r>
            <w:r w:rsidR="00203DBD">
              <w:rPr>
                <w:b/>
              </w:rPr>
              <w:t>Gy  (c</w:t>
            </w:r>
            <w:r w:rsidR="00D00405">
              <w:rPr>
                <w:b/>
              </w:rPr>
              <w:t>m</w:t>
            </w:r>
            <w:r w:rsidR="00D00405" w:rsidRPr="00D00405">
              <w:rPr>
                <w:b/>
                <w:vertAlign w:val="superscript"/>
              </w:rPr>
              <w:t>3</w:t>
            </w:r>
            <w:r w:rsidRPr="00992533">
              <w:rPr>
                <w:b/>
              </w:rPr>
              <w:t>)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DAA" w:rsidRPr="00992533" w:rsidRDefault="00196DAA" w:rsidP="00B72026">
            <w:pPr>
              <w:jc w:val="center"/>
            </w:pPr>
            <w:r w:rsidRPr="00992533">
              <w:t>51</w:t>
            </w:r>
            <w:r w:rsidR="00B72026">
              <w:t>.</w:t>
            </w:r>
            <w:r w:rsidRPr="00992533"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A" w:rsidRPr="00992533" w:rsidRDefault="00196DAA" w:rsidP="00B72026">
            <w:pPr>
              <w:jc w:val="center"/>
            </w:pPr>
            <w:r w:rsidRPr="00992533">
              <w:t>58</w:t>
            </w:r>
            <w:r w:rsidR="00B72026">
              <w:t>.</w:t>
            </w:r>
            <w:r w:rsidRPr="00992533">
              <w:t>7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DAA" w:rsidRPr="00992533" w:rsidRDefault="00196DAA" w:rsidP="00B72026">
            <w:pPr>
              <w:jc w:val="center"/>
            </w:pPr>
            <w:r w:rsidRPr="00992533">
              <w:t>88</w:t>
            </w:r>
            <w:r w:rsidR="00B72026">
              <w:t>.</w:t>
            </w:r>
            <w:r w:rsidRPr="00992533">
              <w:t>5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96DAA" w:rsidRPr="00992533" w:rsidRDefault="00196DAA" w:rsidP="00B72026">
            <w:pPr>
              <w:jc w:val="center"/>
            </w:pPr>
            <w:proofErr w:type="spellStart"/>
            <w:r>
              <w:t>Id</w:t>
            </w:r>
            <w:r w:rsidR="00B72026">
              <w:t>e</w:t>
            </w:r>
            <w:r>
              <w:t>al</w:t>
            </w:r>
            <w:proofErr w:type="spellEnd"/>
            <w:r>
              <w:t> :</w:t>
            </w:r>
            <w:r w:rsidRPr="00992533">
              <w:t xml:space="preserve"> 0</w:t>
            </w:r>
          </w:p>
        </w:tc>
      </w:tr>
      <w:tr w:rsidR="00196DAA" w:rsidRPr="00E1501F" w:rsidTr="00D00405">
        <w:trPr>
          <w:trHeight w:val="5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6DAA" w:rsidRPr="00992533" w:rsidRDefault="00196DAA" w:rsidP="00D00405">
            <w:pPr>
              <w:jc w:val="center"/>
              <w:rPr>
                <w:b/>
              </w:rPr>
            </w:pPr>
            <w:r w:rsidRPr="00992533">
              <w:rPr>
                <w:b/>
              </w:rPr>
              <w:t>V 2</w:t>
            </w:r>
            <w:r w:rsidR="00B72026">
              <w:rPr>
                <w:b/>
              </w:rPr>
              <w:t>.</w:t>
            </w:r>
            <w:r w:rsidRPr="00992533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203DBD">
              <w:rPr>
                <w:b/>
              </w:rPr>
              <w:t>Gy  (c</w:t>
            </w:r>
            <w:r w:rsidR="00D00405">
              <w:rPr>
                <w:b/>
              </w:rPr>
              <w:t>m</w:t>
            </w:r>
            <w:r w:rsidR="00D00405" w:rsidRPr="00D00405">
              <w:rPr>
                <w:b/>
                <w:vertAlign w:val="superscript"/>
              </w:rPr>
              <w:t>3</w:t>
            </w:r>
            <w:r w:rsidRPr="00992533">
              <w:rPr>
                <w:b/>
              </w:rPr>
              <w:t>)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DAA" w:rsidRPr="00992533" w:rsidRDefault="00196DAA" w:rsidP="00B72026">
            <w:pPr>
              <w:jc w:val="center"/>
            </w:pPr>
            <w:r w:rsidRPr="00992533">
              <w:t>174</w:t>
            </w:r>
            <w:r w:rsidR="00B72026">
              <w:t>.</w:t>
            </w:r>
            <w:r w:rsidRPr="00992533"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A" w:rsidRPr="00992533" w:rsidRDefault="00196DAA" w:rsidP="00B72026">
            <w:pPr>
              <w:jc w:val="center"/>
            </w:pPr>
            <w:r w:rsidRPr="00992533">
              <w:t>210</w:t>
            </w:r>
            <w:r w:rsidR="00B72026">
              <w:t>.</w:t>
            </w:r>
            <w:r w:rsidRPr="00992533">
              <w:t>1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DAA" w:rsidRPr="00992533" w:rsidRDefault="00196DAA" w:rsidP="00B72026">
            <w:pPr>
              <w:jc w:val="center"/>
            </w:pPr>
            <w:r w:rsidRPr="00992533">
              <w:t>237</w:t>
            </w:r>
            <w:r w:rsidR="00B72026">
              <w:t>.</w:t>
            </w:r>
            <w:r w:rsidRPr="00992533">
              <w:t>9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96DAA" w:rsidRPr="00992533" w:rsidRDefault="00196DAA" w:rsidP="00B72026">
            <w:pPr>
              <w:jc w:val="center"/>
            </w:pPr>
            <w:proofErr w:type="spellStart"/>
            <w:r>
              <w:t>Id</w:t>
            </w:r>
            <w:r w:rsidR="00B72026">
              <w:t>e</w:t>
            </w:r>
            <w:r>
              <w:t>al</w:t>
            </w:r>
            <w:proofErr w:type="spellEnd"/>
            <w:r>
              <w:t> :</w:t>
            </w:r>
            <w:r w:rsidRPr="00992533">
              <w:t xml:space="preserve"> 0</w:t>
            </w:r>
          </w:p>
        </w:tc>
      </w:tr>
      <w:tr w:rsidR="00196DAA" w:rsidRPr="00E1501F" w:rsidTr="00D00405">
        <w:trPr>
          <w:trHeight w:val="5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6DAA" w:rsidRPr="00992533" w:rsidRDefault="00196DAA" w:rsidP="00D00405">
            <w:pPr>
              <w:jc w:val="center"/>
              <w:rPr>
                <w:b/>
              </w:rPr>
            </w:pPr>
            <w:r w:rsidRPr="00992533">
              <w:rPr>
                <w:b/>
              </w:rPr>
              <w:t>V 1</w:t>
            </w:r>
            <w:r>
              <w:rPr>
                <w:b/>
              </w:rPr>
              <w:t xml:space="preserve"> </w:t>
            </w:r>
            <w:r w:rsidR="00203DBD">
              <w:rPr>
                <w:b/>
              </w:rPr>
              <w:t>Gy  (c</w:t>
            </w:r>
            <w:r w:rsidR="00D00405">
              <w:rPr>
                <w:b/>
              </w:rPr>
              <w:t>m</w:t>
            </w:r>
            <w:r w:rsidR="00D00405" w:rsidRPr="00D00405">
              <w:rPr>
                <w:b/>
                <w:vertAlign w:val="superscript"/>
              </w:rPr>
              <w:t>3</w:t>
            </w:r>
            <w:r w:rsidRPr="00992533">
              <w:rPr>
                <w:b/>
              </w:rPr>
              <w:t>)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DAA" w:rsidRPr="00992533" w:rsidRDefault="00196DAA" w:rsidP="00B72026">
            <w:pPr>
              <w:jc w:val="center"/>
            </w:pPr>
            <w:r w:rsidRPr="00992533">
              <w:t>626</w:t>
            </w:r>
            <w:r w:rsidR="00B72026">
              <w:t>.</w:t>
            </w:r>
            <w:r w:rsidRPr="00992533"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6DAA" w:rsidRPr="00992533" w:rsidRDefault="00196DAA" w:rsidP="00B72026">
            <w:pPr>
              <w:jc w:val="center"/>
            </w:pPr>
            <w:r w:rsidRPr="00992533">
              <w:t>679</w:t>
            </w:r>
            <w:r w:rsidR="00B72026">
              <w:t>.</w:t>
            </w:r>
            <w:r w:rsidRPr="00992533">
              <w:t>2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6DAA" w:rsidRPr="00992533" w:rsidRDefault="00196DAA" w:rsidP="00B72026">
            <w:pPr>
              <w:jc w:val="center"/>
            </w:pPr>
            <w:r w:rsidRPr="00992533">
              <w:t>859</w:t>
            </w:r>
            <w:r w:rsidR="00B72026">
              <w:t>.</w:t>
            </w:r>
            <w:r w:rsidRPr="00992533">
              <w:t>2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96DAA" w:rsidRPr="00992533" w:rsidRDefault="00196DAA" w:rsidP="00B72026">
            <w:pPr>
              <w:jc w:val="center"/>
            </w:pPr>
            <w:proofErr w:type="spellStart"/>
            <w:r>
              <w:t>Id</w:t>
            </w:r>
            <w:r w:rsidR="00B72026">
              <w:t>e</w:t>
            </w:r>
            <w:r>
              <w:t>al</w:t>
            </w:r>
            <w:proofErr w:type="spellEnd"/>
            <w:r>
              <w:t> :</w:t>
            </w:r>
            <w:r w:rsidRPr="00992533">
              <w:t xml:space="preserve"> 0</w:t>
            </w:r>
          </w:p>
        </w:tc>
      </w:tr>
    </w:tbl>
    <w:p w:rsidR="00196DAA" w:rsidRDefault="00196DAA" w:rsidP="00196DAA">
      <w:pPr>
        <w:tabs>
          <w:tab w:val="left" w:pos="3915"/>
        </w:tabs>
        <w:rPr>
          <w:b/>
          <w:i/>
          <w:u w:val="single"/>
        </w:rPr>
      </w:pPr>
    </w:p>
    <w:p w:rsidR="00203DBD" w:rsidRPr="003467DC" w:rsidRDefault="00196DAA" w:rsidP="00196DAA">
      <w:pPr>
        <w:tabs>
          <w:tab w:val="left" w:pos="3915"/>
        </w:tabs>
        <w:jc w:val="center"/>
        <w:rPr>
          <w:i/>
          <w:lang w:val="en-US"/>
        </w:rPr>
      </w:pPr>
      <w:r w:rsidRPr="003467DC">
        <w:rPr>
          <w:b/>
          <w:i/>
          <w:u w:val="single"/>
          <w:lang w:val="en-US"/>
        </w:rPr>
        <w:t xml:space="preserve">Tab. </w:t>
      </w:r>
      <w:proofErr w:type="gramStart"/>
      <w:r w:rsidRPr="003467DC">
        <w:rPr>
          <w:b/>
          <w:i/>
          <w:u w:val="single"/>
          <w:lang w:val="en-US"/>
        </w:rPr>
        <w:t>1 :</w:t>
      </w:r>
      <w:proofErr w:type="gramEnd"/>
      <w:r w:rsidRPr="003467DC">
        <w:rPr>
          <w:i/>
          <w:lang w:val="en-US"/>
        </w:rPr>
        <w:t xml:space="preserve"> </w:t>
      </w:r>
      <w:proofErr w:type="spellStart"/>
      <w:r w:rsidR="00F5420F">
        <w:rPr>
          <w:i/>
          <w:lang w:val="en-US"/>
        </w:rPr>
        <w:t>Dosimetric</w:t>
      </w:r>
      <w:proofErr w:type="spellEnd"/>
      <w:r w:rsidR="00F5420F">
        <w:rPr>
          <w:i/>
          <w:lang w:val="en-US"/>
        </w:rPr>
        <w:t xml:space="preserve"> comparis</w:t>
      </w:r>
      <w:r w:rsidR="00203DBD" w:rsidRPr="003467DC">
        <w:rPr>
          <w:i/>
          <w:lang w:val="en-US"/>
        </w:rPr>
        <w:t xml:space="preserve">on for 5 patients between </w:t>
      </w:r>
      <w:proofErr w:type="spellStart"/>
      <w:r w:rsidR="00203DBD" w:rsidRPr="003467DC">
        <w:rPr>
          <w:i/>
          <w:lang w:val="en-US"/>
        </w:rPr>
        <w:t>Cyberknife</w:t>
      </w:r>
      <w:proofErr w:type="spellEnd"/>
      <w:r w:rsidR="00203DBD" w:rsidRPr="003467DC">
        <w:rPr>
          <w:i/>
          <w:lang w:val="en-US"/>
        </w:rPr>
        <w:t xml:space="preserve"> and </w:t>
      </w:r>
      <w:proofErr w:type="spellStart"/>
      <w:r w:rsidR="00203DBD" w:rsidRPr="003467DC">
        <w:rPr>
          <w:i/>
          <w:lang w:val="en-US"/>
        </w:rPr>
        <w:t>VersaHD</w:t>
      </w:r>
      <w:proofErr w:type="spellEnd"/>
      <w:r w:rsidR="00203DBD" w:rsidRPr="003467DC">
        <w:rPr>
          <w:i/>
          <w:lang w:val="en-US"/>
        </w:rPr>
        <w:t xml:space="preserve"> with </w:t>
      </w:r>
      <w:proofErr w:type="spellStart"/>
      <w:r w:rsidR="00203DBD" w:rsidRPr="003467DC">
        <w:rPr>
          <w:i/>
          <w:lang w:val="en-US"/>
        </w:rPr>
        <w:t>Exactrac</w:t>
      </w:r>
      <w:proofErr w:type="spellEnd"/>
      <w:r w:rsidR="00203DBD" w:rsidRPr="003467DC">
        <w:rPr>
          <w:i/>
          <w:lang w:val="en-US"/>
        </w:rPr>
        <w:t xml:space="preserve"> for stereotactic radiotherapy of brain metastases (mean values)</w:t>
      </w:r>
    </w:p>
    <w:p w:rsidR="00203DBD" w:rsidRPr="003467DC" w:rsidRDefault="00203DBD" w:rsidP="00196DAA">
      <w:pPr>
        <w:tabs>
          <w:tab w:val="left" w:pos="3915"/>
        </w:tabs>
        <w:jc w:val="center"/>
        <w:rPr>
          <w:i/>
          <w:lang w:val="en-US"/>
        </w:rPr>
      </w:pPr>
    </w:p>
    <w:p w:rsidR="00196DAA" w:rsidRPr="003467DC" w:rsidRDefault="00196DAA" w:rsidP="00307004">
      <w:pPr>
        <w:spacing w:line="259" w:lineRule="auto"/>
        <w:jc w:val="both"/>
        <w:rPr>
          <w:sz w:val="20"/>
          <w:szCs w:val="22"/>
          <w:lang w:val="en-US"/>
        </w:rPr>
      </w:pPr>
    </w:p>
    <w:sectPr w:rsidR="00196DAA" w:rsidRPr="003467DC" w:rsidSect="00196DA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04"/>
    <w:rsid w:val="000A256B"/>
    <w:rsid w:val="00196DAA"/>
    <w:rsid w:val="00203DBD"/>
    <w:rsid w:val="00307004"/>
    <w:rsid w:val="003467DC"/>
    <w:rsid w:val="00473BAA"/>
    <w:rsid w:val="0048187C"/>
    <w:rsid w:val="004D7E4E"/>
    <w:rsid w:val="00757C96"/>
    <w:rsid w:val="007901D2"/>
    <w:rsid w:val="00820CCD"/>
    <w:rsid w:val="00B72026"/>
    <w:rsid w:val="00CC60EF"/>
    <w:rsid w:val="00D00405"/>
    <w:rsid w:val="00E6107A"/>
    <w:rsid w:val="00F542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FD38D-168A-49CC-A71C-9CDABDCD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7E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652</Words>
  <Characters>3288</Characters>
  <Application>Microsoft Office Word</Application>
  <DocSecurity>0</DocSecurity>
  <Lines>113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Eugène Marquis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</dc:creator>
  <cp:keywords/>
  <cp:lastModifiedBy>LAFOND Caroline</cp:lastModifiedBy>
  <cp:revision>13</cp:revision>
  <dcterms:created xsi:type="dcterms:W3CDTF">2016-04-01T16:47:00Z</dcterms:created>
  <dcterms:modified xsi:type="dcterms:W3CDTF">2016-04-01T17:54:00Z</dcterms:modified>
</cp:coreProperties>
</file>