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A5" w:rsidRDefault="009E3EB6" w:rsidP="009E3EB6">
      <w:pPr>
        <w:jc w:val="center"/>
      </w:pPr>
      <w:r>
        <w:t xml:space="preserve">Influence </w:t>
      </w:r>
      <w:r w:rsidR="004D1C2E">
        <w:t>de l’injection d’un</w:t>
      </w:r>
      <w:r>
        <w:t xml:space="preserve"> produit de contrast</w:t>
      </w:r>
      <w:r w:rsidR="001445E6">
        <w:t>e sur le calcul de dose avec l’algorithme</w:t>
      </w:r>
      <w:r>
        <w:t xml:space="preserve"> </w:t>
      </w:r>
      <w:proofErr w:type="spellStart"/>
      <w:r>
        <w:t>Acuros</w:t>
      </w:r>
      <w:proofErr w:type="spellEnd"/>
      <w:r>
        <w:t xml:space="preserve"> XB</w:t>
      </w:r>
      <w:r w:rsidR="00FC656F">
        <w:t>®</w:t>
      </w:r>
      <w:r>
        <w:t xml:space="preserve"> dans le</w:t>
      </w:r>
      <w:r w:rsidR="00EF2AF0">
        <w:t xml:space="preserve"> cadre de</w:t>
      </w:r>
      <w:r>
        <w:t xml:space="preserve"> traitements ORL</w:t>
      </w:r>
      <w:r w:rsidR="004D1C2E">
        <w:t xml:space="preserve"> en technique VMAT</w:t>
      </w:r>
      <w:r>
        <w:t>.</w:t>
      </w:r>
    </w:p>
    <w:p w:rsidR="00BE3C12" w:rsidRPr="00FB169C" w:rsidRDefault="00BE3C12" w:rsidP="00FB169C">
      <w:pPr>
        <w:jc w:val="center"/>
      </w:pPr>
      <w:r w:rsidRPr="00FB169C">
        <w:t xml:space="preserve">L. </w:t>
      </w:r>
      <w:proofErr w:type="spellStart"/>
      <w:r w:rsidRPr="00FB169C">
        <w:t>Obeid</w:t>
      </w:r>
      <w:proofErr w:type="spellEnd"/>
      <w:r w:rsidRPr="00FB169C">
        <w:t xml:space="preserve">, J. </w:t>
      </w:r>
      <w:proofErr w:type="spellStart"/>
      <w:r w:rsidRPr="00FB169C">
        <w:t>Molinier</w:t>
      </w:r>
      <w:proofErr w:type="spellEnd"/>
      <w:r w:rsidRPr="00FB169C">
        <w:t xml:space="preserve">, N. </w:t>
      </w:r>
      <w:proofErr w:type="spellStart"/>
      <w:r w:rsidRPr="00FB169C">
        <w:t>Aillères</w:t>
      </w:r>
      <w:proofErr w:type="spellEnd"/>
      <w:r w:rsidRPr="00FB169C">
        <w:t>, L. B</w:t>
      </w:r>
      <w:r w:rsidR="00FB169C">
        <w:t xml:space="preserve">edos, A. Morel, S. Siméon, P. </w:t>
      </w:r>
      <w:proofErr w:type="spellStart"/>
      <w:r w:rsidR="00FB169C">
        <w:t>Fe</w:t>
      </w:r>
      <w:r w:rsidRPr="00FB169C">
        <w:t>noglietto</w:t>
      </w:r>
      <w:proofErr w:type="spellEnd"/>
    </w:p>
    <w:p w:rsidR="00FB169C" w:rsidRPr="00FB169C" w:rsidRDefault="00FB169C" w:rsidP="00FB169C">
      <w:pPr>
        <w:jc w:val="center"/>
        <w:rPr>
          <w:rFonts w:cs="Times New Roman"/>
          <w:i/>
        </w:rPr>
      </w:pPr>
      <w:r w:rsidRPr="00FB169C">
        <w:rPr>
          <w:rFonts w:cs="Times New Roman"/>
          <w:i/>
        </w:rPr>
        <w:t>Institut Régional du Cancer de Montpellier, ICM-Val d’</w:t>
      </w:r>
      <w:proofErr w:type="spellStart"/>
      <w:r w:rsidRPr="00FB169C">
        <w:rPr>
          <w:rFonts w:cs="Times New Roman"/>
          <w:i/>
        </w:rPr>
        <w:t>Aurelle</w:t>
      </w:r>
      <w:proofErr w:type="spellEnd"/>
      <w:r w:rsidRPr="00FB169C">
        <w:rPr>
          <w:rFonts w:cs="Times New Roman"/>
          <w:i/>
        </w:rPr>
        <w:t>, Montpellier, France.</w:t>
      </w:r>
    </w:p>
    <w:p w:rsidR="00EF2AF0" w:rsidRDefault="009E3EB6" w:rsidP="00BE3C12">
      <w:pPr>
        <w:jc w:val="both"/>
      </w:pPr>
      <w:r>
        <w:t xml:space="preserve">Introduction : </w:t>
      </w:r>
      <w:r w:rsidR="00663E9F">
        <w:t xml:space="preserve">Lors de la simulation scanner </w:t>
      </w:r>
      <w:r w:rsidR="00F97A71">
        <w:t xml:space="preserve">(CT) </w:t>
      </w:r>
      <w:r w:rsidR="00663E9F">
        <w:t>du patient, l’</w:t>
      </w:r>
      <w:r w:rsidR="00404C75">
        <w:t xml:space="preserve">injection d’un produit de contraste </w:t>
      </w:r>
      <w:r w:rsidR="00FB169C">
        <w:t>iodé</w:t>
      </w:r>
      <w:r w:rsidR="00663E9F">
        <w:t xml:space="preserve"> </w:t>
      </w:r>
      <w:r w:rsidR="00404C75">
        <w:t>facilite la</w:t>
      </w:r>
      <w:r w:rsidR="00D0506F">
        <w:t xml:space="preserve"> délinéation des volumes cibles </w:t>
      </w:r>
      <w:r w:rsidR="00404C75">
        <w:t>dans le cas</w:t>
      </w:r>
      <w:r w:rsidR="00BE3C12">
        <w:t xml:space="preserve"> de traitements </w:t>
      </w:r>
      <w:r w:rsidR="00EF2AF0">
        <w:t xml:space="preserve">de la sphère </w:t>
      </w:r>
      <w:r w:rsidR="00BE3C12">
        <w:t xml:space="preserve">ORL. </w:t>
      </w:r>
      <w:r w:rsidR="00EF2AF0">
        <w:t xml:space="preserve">Cependant, </w:t>
      </w:r>
      <w:r w:rsidR="00663E9F">
        <w:t xml:space="preserve">l’augmentation </w:t>
      </w:r>
      <w:r w:rsidR="00EF2AF0">
        <w:t xml:space="preserve">de contraste </w:t>
      </w:r>
      <w:r w:rsidR="00663E9F">
        <w:t xml:space="preserve">dans </w:t>
      </w:r>
      <w:r w:rsidR="00F97A71">
        <w:t>c</w:t>
      </w:r>
      <w:r w:rsidR="00EF2AF0">
        <w:t xml:space="preserve">es images peut générer des écarts </w:t>
      </w:r>
      <w:r w:rsidR="00663E9F">
        <w:t xml:space="preserve">de </w:t>
      </w:r>
      <w:r w:rsidR="00EF2AF0">
        <w:t xml:space="preserve">dose </w:t>
      </w:r>
      <w:r w:rsidR="00F97A71">
        <w:t>entre la planification et la délivrance</w:t>
      </w:r>
      <w:r w:rsidR="00EF2AF0">
        <w:t xml:space="preserve"> </w:t>
      </w:r>
      <w:r w:rsidR="00F97A71">
        <w:t>du t</w:t>
      </w:r>
      <w:r w:rsidR="00EF2AF0">
        <w:t xml:space="preserve">raitement. L’objectif de cette étude </w:t>
      </w:r>
      <w:r w:rsidR="00AA3721">
        <w:t xml:space="preserve">rétrospective </w:t>
      </w:r>
      <w:r w:rsidR="00F97A71">
        <w:t>est de quantifier les variations d’unités Hounsfield (UH)</w:t>
      </w:r>
      <w:r w:rsidR="00EF2AF0">
        <w:t xml:space="preserve"> </w:t>
      </w:r>
      <w:r w:rsidR="00F97A71">
        <w:t xml:space="preserve">des images CT </w:t>
      </w:r>
      <w:r w:rsidR="00EF2AF0">
        <w:t xml:space="preserve">et d’analyser </w:t>
      </w:r>
      <w:r w:rsidR="00F97A71">
        <w:t>leur</w:t>
      </w:r>
      <w:r w:rsidR="009928C2">
        <w:t xml:space="preserve"> impact sur les plans de traitement </w:t>
      </w:r>
      <w:r w:rsidR="008A3EAC">
        <w:t>d’</w:t>
      </w:r>
      <w:proofErr w:type="spellStart"/>
      <w:r w:rsidR="008A3EAC">
        <w:t>arcthérapie</w:t>
      </w:r>
      <w:proofErr w:type="spellEnd"/>
      <w:r w:rsidR="008A3EAC">
        <w:t xml:space="preserve"> dynamique (</w:t>
      </w:r>
      <w:r w:rsidR="009928C2">
        <w:t>VMAT</w:t>
      </w:r>
      <w:r w:rsidR="008A3EAC">
        <w:t>)</w:t>
      </w:r>
      <w:r w:rsidR="00EF2AF0">
        <w:t>.</w:t>
      </w:r>
    </w:p>
    <w:p w:rsidR="009E3EB6" w:rsidRDefault="009E3EB6" w:rsidP="005A21E3">
      <w:pPr>
        <w:jc w:val="both"/>
      </w:pPr>
      <w:r>
        <w:t>Matériel et méthode</w:t>
      </w:r>
      <w:r w:rsidR="00404C75">
        <w:t>s</w:t>
      </w:r>
      <w:r>
        <w:t> :</w:t>
      </w:r>
      <w:r w:rsidR="005E0115">
        <w:t xml:space="preserve"> </w:t>
      </w:r>
      <w:r w:rsidR="00AA3721">
        <w:t>Dix</w:t>
      </w:r>
      <w:r w:rsidR="005E0115">
        <w:t xml:space="preserve"> patients préalablement traités en </w:t>
      </w:r>
      <w:r w:rsidR="00AA3721">
        <w:t xml:space="preserve">technique </w:t>
      </w:r>
      <w:r w:rsidR="005E0115">
        <w:t xml:space="preserve">VMAT avec des niveaux de dose identiques (70/60/50 Gy) ont été </w:t>
      </w:r>
      <w:r w:rsidR="005A21E3">
        <w:t>séle</w:t>
      </w:r>
      <w:r w:rsidR="00FC656F">
        <w:t>ctionnés. Pour chaque patient, deux acquisitions</w:t>
      </w:r>
      <w:r w:rsidR="005A21E3">
        <w:t xml:space="preserve"> </w:t>
      </w:r>
      <w:r w:rsidR="00FC656F">
        <w:t>CT</w:t>
      </w:r>
      <w:r w:rsidR="005A21E3">
        <w:t xml:space="preserve"> </w:t>
      </w:r>
      <w:r w:rsidR="00FC656F">
        <w:t>ont</w:t>
      </w:r>
      <w:r w:rsidR="00EB252B">
        <w:t xml:space="preserve"> été</w:t>
      </w:r>
      <w:r w:rsidR="005A21E3">
        <w:t xml:space="preserve"> réalisé</w:t>
      </w:r>
      <w:r w:rsidR="00FC656F">
        <w:t xml:space="preserve">es, </w:t>
      </w:r>
      <w:r w:rsidR="005A21E3" w:rsidRPr="00AA3721">
        <w:t>2</w:t>
      </w:r>
      <w:r w:rsidR="00162F19">
        <w:t xml:space="preserve"> </w:t>
      </w:r>
      <w:r w:rsidR="005A21E3" w:rsidRPr="00AA3721">
        <w:t xml:space="preserve"> </w:t>
      </w:r>
      <w:r w:rsidR="00132D9D">
        <w:t>(</w:t>
      </w:r>
      <w:proofErr w:type="spellStart"/>
      <w:r w:rsidR="00132D9D">
        <w:t>CT</w:t>
      </w:r>
      <w:r w:rsidR="00132D9D" w:rsidRPr="00EB252B">
        <w:rPr>
          <w:vertAlign w:val="subscript"/>
        </w:rPr>
        <w:t>inj</w:t>
      </w:r>
      <w:proofErr w:type="spellEnd"/>
      <w:r w:rsidR="00132D9D">
        <w:t xml:space="preserve">) </w:t>
      </w:r>
      <w:r w:rsidR="00FC656F">
        <w:t xml:space="preserve">et 12 minutes </w:t>
      </w:r>
      <w:r w:rsidR="00132D9D">
        <w:t>(</w:t>
      </w:r>
      <w:proofErr w:type="spellStart"/>
      <w:r w:rsidR="00132D9D">
        <w:t>CT</w:t>
      </w:r>
      <w:r w:rsidR="00132D9D" w:rsidRPr="00404C75">
        <w:rPr>
          <w:vertAlign w:val="subscript"/>
        </w:rPr>
        <w:t>tard</w:t>
      </w:r>
      <w:proofErr w:type="spellEnd"/>
      <w:r w:rsidR="00132D9D">
        <w:t xml:space="preserve">) </w:t>
      </w:r>
      <w:r w:rsidR="00FC656F">
        <w:t>après une injection intraveineuse bi-phasique d’</w:t>
      </w:r>
      <w:proofErr w:type="spellStart"/>
      <w:r w:rsidR="00FC656F">
        <w:t>Ioméron</w:t>
      </w:r>
      <w:proofErr w:type="spellEnd"/>
      <w:r w:rsidR="00FC656F">
        <w:t xml:space="preserve"> 350 </w:t>
      </w:r>
      <w:r w:rsidR="00A13A89">
        <w:t xml:space="preserve">(60 </w:t>
      </w:r>
      <w:proofErr w:type="spellStart"/>
      <w:r w:rsidR="00A13A89">
        <w:t>mL</w:t>
      </w:r>
      <w:proofErr w:type="spellEnd"/>
      <w:r w:rsidR="00A13A89">
        <w:t>, 1mL/s suivi</w:t>
      </w:r>
      <w:r w:rsidR="003F5C07">
        <w:t>e</w:t>
      </w:r>
      <w:r w:rsidR="00A13A89">
        <w:t xml:space="preserve"> de 90 </w:t>
      </w:r>
      <w:proofErr w:type="spellStart"/>
      <w:r w:rsidR="00A13A89">
        <w:t>mL</w:t>
      </w:r>
      <w:proofErr w:type="spellEnd"/>
      <w:r w:rsidR="00A13A89">
        <w:t xml:space="preserve">, 2 </w:t>
      </w:r>
      <w:proofErr w:type="spellStart"/>
      <w:r w:rsidR="00A13A89">
        <w:t>mL</w:t>
      </w:r>
      <w:proofErr w:type="spellEnd"/>
      <w:r w:rsidR="00A13A89">
        <w:t>/s après 30 s)</w:t>
      </w:r>
      <w:r w:rsidR="005A21E3" w:rsidRPr="00AA3721">
        <w:t xml:space="preserve">. </w:t>
      </w:r>
      <w:r w:rsidR="00162F19">
        <w:t xml:space="preserve">La planification de traitement (optimisation et calcul de dose) a été réalisée sur </w:t>
      </w:r>
      <w:proofErr w:type="spellStart"/>
      <w:r w:rsidR="00162F19">
        <w:t>CT</w:t>
      </w:r>
      <w:r w:rsidR="00162F19" w:rsidRPr="00EB252B">
        <w:rPr>
          <w:vertAlign w:val="subscript"/>
        </w:rPr>
        <w:t>inj</w:t>
      </w:r>
      <w:proofErr w:type="spellEnd"/>
      <w:r w:rsidR="00162F19">
        <w:t xml:space="preserve"> avec le TPS Eclipse</w:t>
      </w:r>
      <w:r w:rsidR="009928C2">
        <w:t xml:space="preserve">® et </w:t>
      </w:r>
      <w:r w:rsidR="00DF213F">
        <w:t xml:space="preserve">l’algorithme </w:t>
      </w:r>
      <w:proofErr w:type="spellStart"/>
      <w:r w:rsidR="00DF213F">
        <w:t>Acuros</w:t>
      </w:r>
      <w:proofErr w:type="spellEnd"/>
      <w:r w:rsidR="00DF213F">
        <w:t xml:space="preserve"> XB®</w:t>
      </w:r>
      <w:r w:rsidR="00860F70">
        <w:t>, p</w:t>
      </w:r>
      <w:r w:rsidR="00162F19">
        <w:t xml:space="preserve">uis recalculée </w:t>
      </w:r>
      <w:r w:rsidR="00860F70">
        <w:t xml:space="preserve">de la même manière </w:t>
      </w:r>
      <w:r w:rsidR="00162F19">
        <w:t xml:space="preserve">sur </w:t>
      </w:r>
      <w:proofErr w:type="spellStart"/>
      <w:r w:rsidR="00162F19">
        <w:t>CT</w:t>
      </w:r>
      <w:r w:rsidR="00162F19" w:rsidRPr="00404C75">
        <w:rPr>
          <w:vertAlign w:val="subscript"/>
        </w:rPr>
        <w:t>tard</w:t>
      </w:r>
      <w:proofErr w:type="spellEnd"/>
      <w:r w:rsidR="00162F19">
        <w:t>. Les histogrammes des UH, leurs moyennes</w:t>
      </w:r>
      <w:r w:rsidR="003152B6">
        <w:t xml:space="preserve"> et la distribution du produit de contraste ont été comparés entre les</w:t>
      </w:r>
      <w:r w:rsidR="00DC5EF4" w:rsidRPr="00AA3721">
        <w:t xml:space="preserve"> </w:t>
      </w:r>
      <w:r w:rsidR="003152B6">
        <w:t>deux</w:t>
      </w:r>
      <w:r w:rsidR="00DC5EF4" w:rsidRPr="00AA3721">
        <w:t xml:space="preserve"> scanners</w:t>
      </w:r>
      <w:r w:rsidR="003152B6">
        <w:t xml:space="preserve"> dans le PTV50, les parotides et la thyroïde</w:t>
      </w:r>
      <w:r w:rsidR="00DC5EF4" w:rsidRPr="00AA3721">
        <w:t>. Ensuite, une</w:t>
      </w:r>
      <w:r w:rsidR="00DC5EF4">
        <w:t xml:space="preserve"> comparai</w:t>
      </w:r>
      <w:r w:rsidR="00EB252B">
        <w:t>son dosimétriq</w:t>
      </w:r>
      <w:r w:rsidR="00132D9D">
        <w:t>ue a été réalisée</w:t>
      </w:r>
      <w:r w:rsidR="00404C75">
        <w:t xml:space="preserve"> à l’aide des histogrammes dose-volume des PTV et OAR</w:t>
      </w:r>
      <w:r w:rsidR="00162F19">
        <w:t xml:space="preserve"> (</w:t>
      </w:r>
      <w:r w:rsidR="00CB7FA6">
        <w:t>thyroïde et parotides)</w:t>
      </w:r>
      <w:r w:rsidR="00404C75">
        <w:t>. Les doses maximale (D</w:t>
      </w:r>
      <w:r w:rsidR="00404C75" w:rsidRPr="00404C75">
        <w:rPr>
          <w:vertAlign w:val="subscript"/>
        </w:rPr>
        <w:t>2%</w:t>
      </w:r>
      <w:r w:rsidR="00404C75">
        <w:t>), minimale (D</w:t>
      </w:r>
      <w:r w:rsidR="00404C75" w:rsidRPr="00404C75">
        <w:rPr>
          <w:vertAlign w:val="subscript"/>
        </w:rPr>
        <w:t>98%</w:t>
      </w:r>
      <w:r w:rsidR="00404C75">
        <w:t>) et médiane (D</w:t>
      </w:r>
      <w:r w:rsidR="00404C75" w:rsidRPr="00404C75">
        <w:rPr>
          <w:vertAlign w:val="subscript"/>
        </w:rPr>
        <w:t>50%</w:t>
      </w:r>
      <w:r w:rsidR="00404C75">
        <w:t>) ont été relevées.</w:t>
      </w:r>
    </w:p>
    <w:p w:rsidR="00580086" w:rsidRDefault="00580086" w:rsidP="005A21E3">
      <w:pPr>
        <w:jc w:val="both"/>
      </w:pPr>
      <w:r>
        <w:t>Résultats :</w:t>
      </w:r>
      <w:r w:rsidR="00D9776B">
        <w:t xml:space="preserve"> </w:t>
      </w:r>
      <w:r w:rsidR="0062330D">
        <w:t>Sur les dix patients, l</w:t>
      </w:r>
      <w:r w:rsidR="00D9776B">
        <w:t>es écarts d’UH moyens les plus importants ont été observés dans la thyroïde (81.37 ± 36.01 UH) suivie du PTV50 (10,76 ± 15,70 UH) et des parotides (9,39 ±16,01 UH).</w:t>
      </w:r>
      <w:r w:rsidR="0062330D">
        <w:t xml:space="preserve"> </w:t>
      </w:r>
      <w:r w:rsidR="00DF213F">
        <w:t>L</w:t>
      </w:r>
      <w:r w:rsidR="0062330D">
        <w:t xml:space="preserve">es écarts </w:t>
      </w:r>
      <w:r w:rsidR="00DF213F">
        <w:t xml:space="preserve">de dose </w:t>
      </w:r>
      <w:r w:rsidR="0062330D">
        <w:t>relatifs</w:t>
      </w:r>
      <w:r w:rsidR="00DF213F">
        <w:t xml:space="preserve"> moyens étaient inférieurs à 0,2</w:t>
      </w:r>
      <w:r w:rsidR="0062330D">
        <w:t>% sur D</w:t>
      </w:r>
      <w:r w:rsidR="0062330D" w:rsidRPr="00404C75">
        <w:rPr>
          <w:vertAlign w:val="subscript"/>
        </w:rPr>
        <w:t>2%</w:t>
      </w:r>
      <w:r w:rsidR="0062330D">
        <w:t>, D</w:t>
      </w:r>
      <w:r w:rsidR="0062330D" w:rsidRPr="00404C75">
        <w:rPr>
          <w:vertAlign w:val="subscript"/>
        </w:rPr>
        <w:t>98%</w:t>
      </w:r>
      <w:r w:rsidR="0062330D" w:rsidRPr="0062330D">
        <w:t xml:space="preserve"> </w:t>
      </w:r>
      <w:r w:rsidR="0062330D">
        <w:t>et D</w:t>
      </w:r>
      <w:r w:rsidR="0062330D" w:rsidRPr="00404C75">
        <w:rPr>
          <w:vertAlign w:val="subscript"/>
        </w:rPr>
        <w:t>50%</w:t>
      </w:r>
      <w:r w:rsidR="00DF213F">
        <w:t xml:space="preserve"> dans les trois niveaux de volumes cibles</w:t>
      </w:r>
      <w:r w:rsidR="00A522BB">
        <w:t xml:space="preserve"> PTV</w:t>
      </w:r>
      <w:r w:rsidR="00DF213F">
        <w:t xml:space="preserve"> </w:t>
      </w:r>
      <w:r w:rsidR="0062330D">
        <w:t xml:space="preserve">et </w:t>
      </w:r>
      <w:r w:rsidR="00DF213F">
        <w:t xml:space="preserve">à 0,31% </w:t>
      </w:r>
      <w:r w:rsidR="0062330D">
        <w:t xml:space="preserve">dans </w:t>
      </w:r>
      <w:r w:rsidR="00DF213F">
        <w:t>les OAR.</w:t>
      </w:r>
    </w:p>
    <w:p w:rsidR="003A0034" w:rsidRDefault="00580086" w:rsidP="003A0034">
      <w:pPr>
        <w:jc w:val="both"/>
      </w:pPr>
      <w:r>
        <w:t>Conclusion :</w:t>
      </w:r>
      <w:bookmarkStart w:id="0" w:name="_GoBack"/>
      <w:bookmarkEnd w:id="0"/>
      <w:r w:rsidR="00E65EAA">
        <w:t xml:space="preserve"> Cette étude montre que malgré les variations des UH observées sur les images CT en présence de produit de con</w:t>
      </w:r>
      <w:r w:rsidR="00A522BB">
        <w:t xml:space="preserve">traste iodé, les écarts de dose </w:t>
      </w:r>
      <w:r w:rsidR="00E65EAA">
        <w:t xml:space="preserve">restent faibles et n’influencent pas significativement la délivrance </w:t>
      </w:r>
      <w:r w:rsidR="00957A00">
        <w:t>du traitement</w:t>
      </w:r>
      <w:r w:rsidR="00A522BB">
        <w:t xml:space="preserve"> en technique </w:t>
      </w:r>
      <w:r w:rsidR="00965394">
        <w:t>VMAT</w:t>
      </w:r>
      <w:r w:rsidR="00A522BB">
        <w:t xml:space="preserve"> avec l’algorithme </w:t>
      </w:r>
      <w:proofErr w:type="spellStart"/>
      <w:r w:rsidR="00A522BB">
        <w:t>Acuros</w:t>
      </w:r>
      <w:proofErr w:type="spellEnd"/>
      <w:r w:rsidR="00A522BB">
        <w:t xml:space="preserve"> XB®</w:t>
      </w:r>
      <w:r w:rsidR="003A0034">
        <w:t xml:space="preserve">. </w:t>
      </w:r>
      <w:r w:rsidR="00E65EAA">
        <w:t>La dosimétrie peut ainsi être réalisée sur des images CT injecté.</w:t>
      </w:r>
    </w:p>
    <w:sectPr w:rsidR="003A0034" w:rsidSect="006F0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E3EB6"/>
    <w:rsid w:val="00132D9D"/>
    <w:rsid w:val="001445E6"/>
    <w:rsid w:val="00162F19"/>
    <w:rsid w:val="001E37B8"/>
    <w:rsid w:val="00235F91"/>
    <w:rsid w:val="00303147"/>
    <w:rsid w:val="003152B6"/>
    <w:rsid w:val="003A0034"/>
    <w:rsid w:val="003F5C07"/>
    <w:rsid w:val="00404C75"/>
    <w:rsid w:val="004D1C2E"/>
    <w:rsid w:val="00525299"/>
    <w:rsid w:val="00540ECA"/>
    <w:rsid w:val="00580086"/>
    <w:rsid w:val="005A21E3"/>
    <w:rsid w:val="005E0115"/>
    <w:rsid w:val="0062330D"/>
    <w:rsid w:val="00645691"/>
    <w:rsid w:val="00663E9F"/>
    <w:rsid w:val="006725E8"/>
    <w:rsid w:val="006F05EB"/>
    <w:rsid w:val="00745AB6"/>
    <w:rsid w:val="007A58A5"/>
    <w:rsid w:val="00860F70"/>
    <w:rsid w:val="008673E3"/>
    <w:rsid w:val="008A3EAC"/>
    <w:rsid w:val="00957A00"/>
    <w:rsid w:val="00965394"/>
    <w:rsid w:val="009928C2"/>
    <w:rsid w:val="009E3EB6"/>
    <w:rsid w:val="00A13A89"/>
    <w:rsid w:val="00A522BB"/>
    <w:rsid w:val="00AA3721"/>
    <w:rsid w:val="00B70107"/>
    <w:rsid w:val="00BE3C12"/>
    <w:rsid w:val="00C459CE"/>
    <w:rsid w:val="00C720D9"/>
    <w:rsid w:val="00CB7FA6"/>
    <w:rsid w:val="00CE76E8"/>
    <w:rsid w:val="00D0506F"/>
    <w:rsid w:val="00D9776B"/>
    <w:rsid w:val="00DC5EF4"/>
    <w:rsid w:val="00DF213F"/>
    <w:rsid w:val="00E17391"/>
    <w:rsid w:val="00E65EAA"/>
    <w:rsid w:val="00E91238"/>
    <w:rsid w:val="00EB252B"/>
    <w:rsid w:val="00EF2AF0"/>
    <w:rsid w:val="00F02D51"/>
    <w:rsid w:val="00F76DF6"/>
    <w:rsid w:val="00F94D79"/>
    <w:rsid w:val="00F97A71"/>
    <w:rsid w:val="00FB169C"/>
    <w:rsid w:val="00FC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08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C656F"/>
    <w:rPr>
      <w:color w:val="808080"/>
    </w:rPr>
  </w:style>
  <w:style w:type="paragraph" w:styleId="Bibliographie">
    <w:name w:val="Bibliography"/>
    <w:basedOn w:val="Normal"/>
    <w:next w:val="Normal"/>
    <w:uiPriority w:val="37"/>
    <w:semiHidden/>
    <w:unhideWhenUsed/>
    <w:rsid w:val="003A0034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ICM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</dc:creator>
  <cp:lastModifiedBy>Layal Obeid</cp:lastModifiedBy>
  <cp:revision>9</cp:revision>
  <dcterms:created xsi:type="dcterms:W3CDTF">2016-03-28T14:16:00Z</dcterms:created>
  <dcterms:modified xsi:type="dcterms:W3CDTF">2016-04-01T13:34:00Z</dcterms:modified>
</cp:coreProperties>
</file>